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Operations Report</w:t>
      </w:r>
    </w:p>
    <w:p>
      <w:r>
        <w:t>This report summarizes warehouse operations for Q1 2026 across the three regional distribution centers. Overall throughput increased compared to the prior quarter, driven mainly by the Kigali hub.</w:t>
      </w:r>
    </w:p>
    <w:p>
      <w:pPr>
        <w:pStyle w:val="Heading1"/>
      </w:pPr>
      <w:r>
        <w:t>Regional Throughput</w:t>
      </w:r>
    </w:p>
    <w:p>
      <w:r>
        <w:t>The table below lists shipments processed per distribution center.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Center</w:t>
            </w:r>
          </w:p>
        </w:tc>
        <w:tc>
          <w:tcPr>
            <w:tcW w:type="dxa" w:w="2160"/>
          </w:tcPr>
          <w:p>
            <w:r>
              <w:t>Shipments</w:t>
            </w:r>
          </w:p>
        </w:tc>
        <w:tc>
          <w:tcPr>
            <w:tcW w:type="dxa" w:w="2160"/>
          </w:tcPr>
          <w:p>
            <w:r>
              <w:t>On-Time %</w:t>
            </w:r>
          </w:p>
        </w:tc>
        <w:tc>
          <w:tcPr>
            <w:tcW w:type="dxa" w:w="2160"/>
          </w:tcPr>
          <w:p>
            <w:r>
              <w:t>Avg Cost (USD)</w:t>
            </w:r>
          </w:p>
        </w:tc>
      </w:tr>
      <w:tr>
        <w:tc>
          <w:tcPr>
            <w:tcW w:type="dxa" w:w="2160"/>
          </w:tcPr>
          <w:p>
            <w:r>
              <w:t>Kigali Hub</w:t>
            </w:r>
          </w:p>
        </w:tc>
        <w:tc>
          <w:tcPr>
            <w:tcW w:type="dxa" w:w="2160"/>
          </w:tcPr>
          <w:p>
            <w:r>
              <w:t>4820</w:t>
            </w:r>
          </w:p>
        </w:tc>
        <w:tc>
          <w:tcPr>
            <w:tcW w:type="dxa" w:w="2160"/>
          </w:tcPr>
          <w:p>
            <w:r>
              <w:t>96.5</w:t>
            </w:r>
          </w:p>
        </w:tc>
        <w:tc>
          <w:tcPr>
            <w:tcW w:type="dxa" w:w="2160"/>
          </w:tcPr>
          <w:p>
            <w:r>
              <w:t>12.40</w:t>
            </w:r>
          </w:p>
        </w:tc>
      </w:tr>
      <w:tr>
        <w:tc>
          <w:tcPr>
            <w:tcW w:type="dxa" w:w="2160"/>
          </w:tcPr>
          <w:p>
            <w:r>
              <w:t>Musanze Depot</w:t>
            </w:r>
          </w:p>
        </w:tc>
        <w:tc>
          <w:tcPr>
            <w:tcW w:type="dxa" w:w="2160"/>
          </w:tcPr>
          <w:p>
            <w:r>
              <w:t>2130</w:t>
            </w:r>
          </w:p>
        </w:tc>
        <w:tc>
          <w:tcPr>
            <w:tcW w:type="dxa" w:w="2160"/>
          </w:tcPr>
          <w:p>
            <w:r>
              <w:t>91.2</w:t>
            </w:r>
          </w:p>
        </w:tc>
        <w:tc>
          <w:tcPr>
            <w:tcW w:type="dxa" w:w="2160"/>
          </w:tcPr>
          <w:p>
            <w:r>
              <w:t>14.10</w:t>
            </w:r>
          </w:p>
        </w:tc>
      </w:tr>
      <w:tr>
        <w:tc>
          <w:tcPr>
            <w:tcW w:type="dxa" w:w="2160"/>
          </w:tcPr>
          <w:p>
            <w:r>
              <w:t>Huye Depot</w:t>
            </w:r>
          </w:p>
        </w:tc>
        <w:tc>
          <w:tcPr>
            <w:tcW w:type="dxa" w:w="2160"/>
          </w:tcPr>
          <w:p>
            <w:r>
              <w:t>1750</w:t>
            </w:r>
          </w:p>
        </w:tc>
        <w:tc>
          <w:tcPr>
            <w:tcW w:type="dxa" w:w="2160"/>
          </w:tcPr>
          <w:p>
            <w:r>
              <w:t>89.8</w:t>
            </w:r>
          </w:p>
        </w:tc>
        <w:tc>
          <w:tcPr>
            <w:tcW w:type="dxa" w:w="2160"/>
          </w:tcPr>
          <w:p>
            <w:r>
              <w:t>15.75</w:t>
            </w:r>
          </w:p>
        </w:tc>
      </w:tr>
    </w:tbl>
    <w:p>
      <w:pPr>
        <w:pStyle w:val="Heading1"/>
      </w:pPr>
      <w:r>
        <w:t>Staffing</w:t>
      </w:r>
    </w:p>
    <w:p>
      <w:r>
        <w:t>Staffing levels remained stable through the quarter with no major attrition.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Center</w:t>
            </w:r>
          </w:p>
        </w:tc>
        <w:tc>
          <w:tcPr>
            <w:tcW w:type="dxa" w:w="2880"/>
          </w:tcPr>
          <w:p>
            <w:r>
              <w:t>Headcount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</w:tr>
      <w:tr>
        <w:tc>
          <w:tcPr>
            <w:tcW w:type="dxa" w:w="2880"/>
          </w:tcPr>
          <w:p>
            <w:r>
              <w:t>Kigali Hub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Logistics</w:t>
            </w:r>
          </w:p>
        </w:tc>
      </w:tr>
      <w:tr>
        <w:tc>
          <w:tcPr>
            <w:tcW w:type="dxa" w:w="2880"/>
          </w:tcPr>
          <w:p>
            <w:r>
              <w:t>Musanze Depot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Logistics</w:t>
            </w:r>
          </w:p>
        </w:tc>
      </w:tr>
      <w:tr>
        <w:tc>
          <w:tcPr>
            <w:tcW w:type="dxa" w:w="2880"/>
          </w:tcPr>
          <w:p>
            <w:r>
              <w:t>Huye Depot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Logistics</w:t>
            </w:r>
          </w:p>
        </w:tc>
      </w:tr>
    </w:tbl>
    <w:p>
      <w:pPr>
        <w:pStyle w:val="Heading1"/>
      </w:pPr>
      <w:r>
        <w:t>Outlook</w:t>
      </w:r>
    </w:p>
    <w:p>
      <w:r>
        <w:t>Management expects continued growth in Q2 2026 as the new Rubavu depot comes online, adding regional capacity ahead of the harvest season peak.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