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t xml:space="preserve"/>
      </w:r>
    </w:p>
    <w:p>
      <w:pPr>
        <w:spacing w:after="60"/>
      </w:pPr>
      <w:r>
        <w:rPr>
          <w:b/>
          <w:bCs/>
          <w:color w:val="294294"/>
          <w:sz w:val="48"/>
          <w:szCs w:val="48"/>
        </w:rPr>
        <w:t xml:space="preserve">MediaDays Solutions 2026</w:t>
      </w:r>
    </w:p>
    <w:p>
      <w:pPr>
        <w:spacing w:after="200"/>
      </w:pPr>
      <w:r>
        <w:rPr>
          <w:b/>
          <w:bCs/>
          <w:color w:val="E6007E"/>
          <w:sz w:val="26"/>
          <w:szCs w:val="26"/>
        </w:rPr>
        <w:t xml:space="preserve">Affiliate pitch — recruiting Partners &amp; Sponsors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4294" w:sz="4"/>
              <w:left w:val="single" w:color="294294" w:sz="18"/>
              <w:bottom w:val="single" w:color="294294" w:sz="4"/>
              <w:right w:val="single" w:color="294294" w:sz="4"/>
            </w:tcBorders>
            <w:shd w:fill="F2F4FA" w:val="clear"/>
            <w:tcMar>
              <w:top w:type="dxa" w:w="140"/>
              <w:left w:type="dxa" w:w="220"/>
              <w:bottom w:type="dxa" w:w="140"/>
              <w:right w:type="dxa" w:w="200"/>
            </w:tcMar>
          </w:tcPr>
          <w:p>
            <w:pPr>
              <w:spacing w:after="140" w:line="276"/>
            </w:pPr>
            <w:r>
              <w:rPr>
                <w:b/>
                <w:bCs/>
                <w:color w:val="294294"/>
              </w:rPr>
              <w:t xml:space="preserve">Your role in one sentence: </w:t>
            </w:r>
            <w:r>
              <w:t xml:space="preserve">get media-tech companies to become Partners or Sponsors of the </w:t>
            </w:r>
            <w:r>
              <w:rPr>
                <w:b/>
                <w:bCs/>
              </w:rPr>
              <w:t xml:space="preserve">MediaDays Solutions</w:t>
            </w:r>
            <w:r>
              <w:t xml:space="preserve">. This document gives you the pitch, the arguments, the objection-handling — and the one rule never to forget: you bring in partners for the MediaDays </w:t>
            </w:r>
            <w:r>
              <w:rPr>
                <w:b/>
                <w:bCs/>
              </w:rPr>
              <w:t xml:space="preserve">Solutions</w:t>
            </w:r>
            <w:r>
              <w:t xml:space="preserve">, not for the MediaDays Classic.</w:t>
            </w:r>
          </w:p>
        </w:tc>
      </w:tr>
    </w:tbl>
    <w:p>
      <w:pPr>
        <w:spacing w:after="120"/>
      </w:pPr>
      <w:r>
        <w:t xml:space="preserve"/>
      </w:r>
    </w:p>
    <w:p>
      <w:pPr>
        <w:pStyle w:val="Heading1"/>
      </w:pPr>
      <w:r>
        <w:t xml:space="preserve">1. The 20-second pitch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007E" w:sz="4"/>
              <w:left w:val="single" w:color="E6007E" w:sz="18"/>
              <w:bottom w:val="single" w:color="E6007E" w:sz="4"/>
              <w:right w:val="single" w:color="E6007E" w:sz="4"/>
            </w:tcBorders>
            <w:shd w:fill="FCE8F1" w:val="clear"/>
            <w:tcMar>
              <w:top w:type="dxa" w:w="140"/>
              <w:left w:type="dxa" w:w="220"/>
              <w:bottom w:type="dxa" w:w="140"/>
              <w:right w:type="dxa" w:w="200"/>
            </w:tcMar>
          </w:tcPr>
          <w:p>
            <w:pPr>
              <w:spacing w:after="0" w:line="290"/>
            </w:pPr>
            <w:r>
              <w:rPr>
                <w:i/>
                <w:iCs/>
                <w:sz w:val="24"/>
                <w:szCs w:val="24"/>
              </w:rPr>
              <w:t xml:space="preserve">“The MediaDays Solutions is the only French event that brings together the entire media-tech value chain: audio, radio, video, CTV, outdoor, DOOH, broadcast and data on a single show floor. Across the aisle: the decision-makers from radio, TV, platforms and ad networks who come to buy, compare and sign. Three cities — Marseille, Paris, Brussels — late 2026. Book your space before your sector fills up.”</w:t>
            </w:r>
          </w:p>
        </w:tc>
      </w:tr>
    </w:tbl>
    <w:p>
      <w:pPr>
        <w:spacing w:after="100"/>
      </w:pPr>
      <w:r>
        <w:t xml:space="preserve"/>
      </w:r>
    </w:p>
    <w:p>
      <w:pPr>
        <w:spacing w:after="140" w:line="276"/>
      </w:pPr>
      <w:r>
        <w:t xml:space="preserve">Note: the brand is plural — always “the MediaDays”.</w:t>
      </w:r>
    </w:p>
    <w:p>
      <w:pPr>
        <w:pStyle w:val="Heading1"/>
      </w:pPr>
      <w:r>
        <w:t xml:space="preserve">2. What you are selling: the MediaDays Solutions</w:t>
      </w:r>
    </w:p>
    <w:p>
      <w:pPr>
        <w:spacing w:after="140" w:line="276"/>
      </w:pPr>
      <w:r>
        <w:t xml:space="preserve">A simple observation: AI, the cloud, 5G and CTV are erasing the lines between radio, TV, podcast, streaming and outdoor. Broadcast manufacturers now talk to programmatic ad networks, broadcasters invest in data, platforms buy up studios. No French trade show brought this convergence together. The MediaDays Solutions were created for exactly that.</w:t>
      </w:r>
    </w:p>
    <w:p>
      <w:pPr>
        <w:spacing w:after="140" w:line="276"/>
      </w:pPr>
      <w:r>
        <w:t xml:space="preserve">The show is built around </w:t>
      </w:r>
      <w:r>
        <w:rPr>
          <w:b/>
          <w:bCs/>
          <w:color w:val="294294"/>
        </w:rPr>
        <w:t xml:space="preserve">five sectors</w:t>
      </w:r>
      <w:r>
        <w:t xml:space="preserve">, mapped to the market’s driving forces. Each sector brings together manufacturers, integrators, distributors and service providers, facing the media buyers who deploy their technology:</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294294" w:val="clear"/>
            <w:tcMar>
              <w:top w:type="dxa" w:w="90"/>
              <w:left w:type="dxa" w:w="140"/>
              <w:bottom w:type="dxa" w:w="90"/>
              <w:right w:type="dxa" w:w="120"/>
            </w:tcMar>
          </w:tcPr>
          <w:p>
            <w:pPr>
              <w:spacing w:after="140" w:line="276"/>
            </w:pPr>
            <w:r>
              <w:rPr>
                <w:b/>
                <w:bCs/>
                <w:color w:val="FFFFFF"/>
              </w:rPr>
              <w:t xml:space="preserve">Sector</w:t>
            </w:r>
          </w:p>
        </w:tc>
        <w:tc>
          <w:tcPr>
            <w:tcW w:type="dxa" w:w="6760"/>
            <w:shd w:fill="294294" w:val="clear"/>
            <w:tcMar>
              <w:top w:type="dxa" w:w="90"/>
              <w:left w:type="dxa" w:w="140"/>
              <w:bottom w:type="dxa" w:w="90"/>
              <w:right w:type="dxa" w:w="140"/>
            </w:tcMar>
          </w:tcPr>
          <w:p>
            <w:pPr>
              <w:spacing w:after="140" w:line="276"/>
            </w:pPr>
            <w:r>
              <w:rPr>
                <w:b/>
                <w:bCs/>
                <w:color w:val="FFFFFF"/>
              </w:rPr>
              <w:t xml:space="preserve">Who becomes a partner, who you talk to</w:t>
            </w:r>
          </w:p>
        </w:tc>
      </w:tr>
      <w:tr>
        <w:tc>
          <w:tcPr>
            <w:tcW w:type="dxa" w:w="2600"/>
            <w:shd w:fill="F2F4FA" w:val="clear"/>
            <w:tcMar>
              <w:top w:type="dxa" w:w="90"/>
              <w:left w:type="dxa" w:w="140"/>
              <w:bottom w:type="dxa" w:w="90"/>
              <w:right w:type="dxa" w:w="120"/>
            </w:tcMar>
          </w:tcPr>
          <w:p>
            <w:pPr>
              <w:spacing w:after="140" w:line="276"/>
            </w:pPr>
            <w:r>
              <w:t xml:space="preserve">🎙️ </w:t>
            </w:r>
            <w:r>
              <w:rPr>
                <w:b/>
                <w:bCs/>
                <w:color w:val="294294"/>
              </w:rPr>
              <w:t xml:space="preserve">Audio &amp; Radio</w:t>
            </w:r>
          </w:p>
        </w:tc>
        <w:tc>
          <w:tcPr>
            <w:tcW w:type="dxa" w:w="6760"/>
            <w:shd w:fill="F2F4FA" w:val="clear"/>
            <w:tcMar>
              <w:top w:type="dxa" w:w="90"/>
              <w:left w:type="dxa" w:w="140"/>
              <w:bottom w:type="dxa" w:w="90"/>
              <w:right w:type="dxa" w:w="140"/>
            </w:tcMar>
          </w:tcPr>
          <w:p>
            <w:pPr>
              <w:spacing w:after="140" w:line="276"/>
            </w:pPr>
            <w:r>
              <w:t xml:space="preserve">This is the Paris Radio Show: broadcast manufacturers, podcast platforms, audio ad networks and technology. The audio sector of the MediaDays Solutions — that's it.</w:t>
            </w:r>
          </w:p>
        </w:tc>
      </w:tr>
      <w:tr>
        <w:tc>
          <w:tcPr>
            <w:tcW w:type="dxa" w:w="2600"/>
            <w:shd w:fill="FFFFFF" w:val="clear"/>
            <w:tcMar>
              <w:top w:type="dxa" w:w="90"/>
              <w:left w:type="dxa" w:w="140"/>
              <w:bottom w:type="dxa" w:w="90"/>
              <w:right w:type="dxa" w:w="120"/>
            </w:tcMar>
          </w:tcPr>
          <w:p>
            <w:pPr>
              <w:spacing w:after="140" w:line="276"/>
            </w:pPr>
            <w:r>
              <w:t xml:space="preserve">🎥 </w:t>
            </w:r>
            <w:r>
              <w:rPr>
                <w:b/>
                <w:bCs/>
                <w:color w:val="294294"/>
              </w:rPr>
              <w:t xml:space="preserve">Video &amp; CTV</w:t>
            </w:r>
          </w:p>
        </w:tc>
        <w:tc>
          <w:tcPr>
            <w:tcW w:type="dxa" w:w="6760"/>
            <w:shd w:fill="FFFFFF" w:val="clear"/>
            <w:tcMar>
              <w:top w:type="dxa" w:w="90"/>
              <w:left w:type="dxa" w:w="140"/>
              <w:bottom w:type="dxa" w:w="90"/>
              <w:right w:type="dxa" w:w="140"/>
            </w:tcMar>
          </w:tcPr>
          <w:p>
            <w:pPr>
              <w:spacing w:after="140" w:line="276"/>
            </w:pPr>
            <w:r>
              <w:t xml:space="preserve">Cameras, capture, streaming, connected TV and premium video players.</w:t>
            </w:r>
          </w:p>
        </w:tc>
      </w:tr>
      <w:tr>
        <w:tc>
          <w:tcPr>
            <w:tcW w:type="dxa" w:w="2600"/>
            <w:shd w:fill="F2F4FA" w:val="clear"/>
            <w:tcMar>
              <w:top w:type="dxa" w:w="90"/>
              <w:left w:type="dxa" w:w="140"/>
              <w:bottom w:type="dxa" w:w="90"/>
              <w:right w:type="dxa" w:w="120"/>
            </w:tcMar>
          </w:tcPr>
          <w:p>
            <w:pPr>
              <w:spacing w:after="140" w:line="276"/>
            </w:pPr>
            <w:r>
              <w:t xml:space="preserve">📢 </w:t>
            </w:r>
            <w:r>
              <w:rPr>
                <w:b/>
                <w:bCs/>
                <w:color w:val="294294"/>
              </w:rPr>
              <w:t xml:space="preserve">Outdoor &amp; DOOH</w:t>
            </w:r>
          </w:p>
        </w:tc>
        <w:tc>
          <w:tcPr>
            <w:tcW w:type="dxa" w:w="6760"/>
            <w:shd w:fill="F2F4FA" w:val="clear"/>
            <w:tcMar>
              <w:top w:type="dxa" w:w="90"/>
              <w:left w:type="dxa" w:w="140"/>
              <w:bottom w:type="dxa" w:w="90"/>
              <w:right w:type="dxa" w:w="140"/>
            </w:tcMar>
          </w:tcPr>
          <w:p>
            <w:pPr>
              <w:spacing w:after="140" w:line="276"/>
            </w:pPr>
            <w:r>
              <w:t xml:space="preserve">Digital signage, outdoor ad networks, programmatic out-of-home advertising.</w:t>
            </w:r>
          </w:p>
        </w:tc>
      </w:tr>
      <w:tr>
        <w:tc>
          <w:tcPr>
            <w:tcW w:type="dxa" w:w="2600"/>
            <w:shd w:fill="FFFFFF" w:val="clear"/>
            <w:tcMar>
              <w:top w:type="dxa" w:w="90"/>
              <w:left w:type="dxa" w:w="140"/>
              <w:bottom w:type="dxa" w:w="90"/>
              <w:right w:type="dxa" w:w="120"/>
            </w:tcMar>
          </w:tcPr>
          <w:p>
            <w:pPr>
              <w:spacing w:after="140" w:line="276"/>
            </w:pPr>
            <w:r>
              <w:t xml:space="preserve">📡 </w:t>
            </w:r>
            <w:r>
              <w:rPr>
                <w:b/>
                <w:bCs/>
                <w:color w:val="294294"/>
              </w:rPr>
              <w:t xml:space="preserve">Broadcast &amp; Infra</w:t>
            </w:r>
          </w:p>
        </w:tc>
        <w:tc>
          <w:tcPr>
            <w:tcW w:type="dxa" w:w="6760"/>
            <w:shd w:fill="FFFFFF" w:val="clear"/>
            <w:tcMar>
              <w:top w:type="dxa" w:w="90"/>
              <w:left w:type="dxa" w:w="140"/>
              <w:bottom w:type="dxa" w:w="90"/>
              <w:right w:type="dxa" w:w="140"/>
            </w:tcMar>
          </w:tcPr>
          <w:p>
            <w:pPr>
              <w:spacing w:after="140" w:line="276"/>
            </w:pPr>
            <w:r>
              <w:t xml:space="preserve">Transmitters, satellite, networks, cloud broadcast, 5G — the full broadcast infrastructure.</w:t>
            </w:r>
          </w:p>
        </w:tc>
      </w:tr>
      <w:tr>
        <w:tc>
          <w:tcPr>
            <w:tcW w:type="dxa" w:w="2600"/>
            <w:shd w:fill="F2F4FA" w:val="clear"/>
            <w:tcMar>
              <w:top w:type="dxa" w:w="90"/>
              <w:left w:type="dxa" w:w="140"/>
              <w:bottom w:type="dxa" w:w="90"/>
              <w:right w:type="dxa" w:w="120"/>
            </w:tcMar>
          </w:tcPr>
          <w:p>
            <w:pPr>
              <w:spacing w:after="140" w:line="276"/>
            </w:pPr>
            <w:r>
              <w:t xml:space="preserve">📊 </w:t>
            </w:r>
            <w:r>
              <w:rPr>
                <w:b/>
                <w:bCs/>
                <w:color w:val="294294"/>
              </w:rPr>
              <w:t xml:space="preserve">Data &amp; Adtech</w:t>
            </w:r>
          </w:p>
        </w:tc>
        <w:tc>
          <w:tcPr>
            <w:tcW w:type="dxa" w:w="6760"/>
            <w:shd w:fill="F2F4FA" w:val="clear"/>
            <w:tcMar>
              <w:top w:type="dxa" w:w="90"/>
              <w:left w:type="dxa" w:w="140"/>
              <w:bottom w:type="dxa" w:w="90"/>
              <w:right w:type="dxa" w:w="140"/>
            </w:tcMar>
          </w:tcPr>
          <w:p>
            <w:pPr>
              <w:spacing w:after="140" w:line="276"/>
            </w:pPr>
            <w:r>
              <w:t xml:space="preserve">Programmatic and measurement chain: DSP, SSP, DMP, CDP, clean rooms, cross-media attribution, AI.</w:t>
            </w:r>
          </w:p>
        </w:tc>
      </w:tr>
    </w:tbl>
    <w:p>
      <w:pPr>
        <w:spacing w:after="120"/>
      </w:pPr>
      <w:r>
        <w:t xml:space="preserve"/>
      </w:r>
    </w:p>
    <w:p>
      <w:pPr>
        <w:pStyle w:val="Heading2"/>
      </w:pPr>
      <w:r>
        <w:t xml:space="preserve">Three stops, late 2026</w:t>
      </w:r>
    </w:p>
    <w:p>
      <w:pPr>
        <w:pStyle w:val="ListParagraph"/>
        <w:numPr>
          <w:ilvl w:val="0"/>
          <w:numId w:val="2"/>
        </w:numPr>
        <w:spacing w:after="80" w:line="270"/>
      </w:pPr>
      <w:r>
        <w:rPr>
          <w:b/>
          <w:bCs/>
        </w:rPr>
        <w:t xml:space="preserve">Marseille</w:t>
      </w:r>
      <w:r>
        <w:t xml:space="preserve"> — 10 December 2026, Palais du Pharo</w:t>
      </w:r>
    </w:p>
    <w:p>
      <w:pPr>
        <w:pStyle w:val="ListParagraph"/>
        <w:numPr>
          <w:ilvl w:val="0"/>
          <w:numId w:val="2"/>
        </w:numPr>
        <w:spacing w:after="80" w:line="270"/>
      </w:pPr>
      <w:r>
        <w:rPr>
          <w:b/>
          <w:bCs/>
        </w:rPr>
        <w:t xml:space="preserve">Paris</w:t>
      </w:r>
      <w:r>
        <w:t xml:space="preserve"> — 15 December 2026, Carrousel du Louvre (flagship stop, includes the Paris Radio Show)</w:t>
      </w:r>
    </w:p>
    <w:p>
      <w:pPr>
        <w:pStyle w:val="ListParagraph"/>
        <w:numPr>
          <w:ilvl w:val="0"/>
          <w:numId w:val="2"/>
        </w:numPr>
        <w:spacing w:after="80" w:line="270"/>
      </w:pPr>
      <w:r>
        <w:rPr>
          <w:b/>
          <w:bCs/>
        </w:rPr>
        <w:t xml:space="preserve">Brussels</w:t>
      </w:r>
      <w:r>
        <w:t xml:space="preserve"> — 26 November 2026, Mix Brussels (international stop)</w:t>
      </w:r>
    </w:p>
    <w:p>
      <w:pPr>
        <w:spacing w:after="40"/>
      </w:pPr>
      <w:r>
        <w:t xml:space="preserve"/>
      </w:r>
    </w:p>
    <w:p>
      <w:pPr>
        <w:spacing w:after="140" w:line="276"/>
      </w:pPr>
      <w:r>
        <w:t xml:space="preserve">Organised by </w:t>
      </w:r>
      <w:r>
        <w:rPr>
          <w:b/>
          <w:bCs/>
        </w:rPr>
        <w:t xml:space="preserve">Havas</w:t>
      </w:r>
      <w:r>
        <w:t xml:space="preserve">, with </w:t>
      </w:r>
      <w:r>
        <w:rPr>
          <w:b/>
          <w:bCs/>
        </w:rPr>
        <w:t xml:space="preserve">Editions HF — Podcast &amp; RadioHouse</w:t>
      </w:r>
      <w:r>
        <w:t xml:space="preserve"> (Brive) as technical provider (space &amp; logistics). Full partner information: </w:t>
      </w:r>
      <w:r>
        <w:rPr>
          <w:b/>
          <w:bCs/>
          <w:color w:val="E6007E"/>
        </w:rPr>
        <w:t xml:space="preserve">mediadays.solutions</w:t>
      </w:r>
      <w:r>
        <w:t xml:space="preserve">.</w:t>
      </w:r>
    </w:p>
    <w:p>
      <w:pPr>
        <w:pStyle w:val="Heading1"/>
      </w:pPr>
      <w:r>
        <w:t xml:space="preserve">3. “And what about the Paris Radio Show?”</w:t>
      </w:r>
    </w:p>
    <w:p>
      <w:pPr>
        <w:spacing w:after="140" w:line="276"/>
      </w:pPr>
      <w:r>
        <w:t xml:space="preserve">The Paris Radio Show is not a separate show: it is the </w:t>
      </w:r>
      <w:r>
        <w:rPr>
          <w:b/>
          <w:bCs/>
          <w:color w:val="294294"/>
        </w:rPr>
        <w:t xml:space="preserve">Audio &amp; Radio sector of the MediaDays Solutions</w:t>
      </w:r>
      <w:r>
        <w:t xml:space="preserve">. If you approach a broadcast manufacturer, a podcast platform or an audio ad network, you talk to them about the Paris Radio Show — and they are present at the Carrousel du Louvre on 15 December, in the same space as the four other sectors.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4294" w:sz="4"/>
              <w:left w:val="single" w:color="294294" w:sz="18"/>
              <w:bottom w:val="single" w:color="294294" w:sz="4"/>
              <w:right w:val="single" w:color="294294" w:sz="4"/>
            </w:tcBorders>
            <w:shd w:fill="F2F4FA" w:val="clear"/>
            <w:tcMar>
              <w:top w:type="dxa" w:w="140"/>
              <w:left w:type="dxa" w:w="220"/>
              <w:bottom w:type="dxa" w:w="140"/>
              <w:right w:type="dxa" w:w="200"/>
            </w:tcMar>
          </w:tcPr>
          <w:p>
            <w:pPr>
              <w:spacing w:after="140" w:line="276"/>
            </w:pPr>
            <w:r>
              <w:rPr>
                <w:b/>
                <w:bCs/>
                <w:color w:val="294294"/>
              </w:rPr>
              <w:t xml:space="preserve">Strong argument for audio: </w:t>
            </w:r>
            <w:r>
              <w:rPr>
                <w:i/>
                <w:iCs/>
              </w:rPr>
              <w:t xml:space="preserve">“The Paris Radio Show keeps its entire historic radio/podcast audience, but your visitors now also cross paths with video, data and broadcast buyers. You reach a wider audience without switching shows.”</w:t>
            </w:r>
          </w:p>
        </w:tc>
      </w:tr>
    </w:tbl>
    <w:p>
      <w:pPr>
        <w:pStyle w:val="Heading1"/>
      </w:pPr>
      <w:r>
        <w:t xml:space="preserve">4. The 4 arguments that close the deal</w:t>
      </w:r>
    </w:p>
    <w:p>
      <w:pPr>
        <w:pStyle w:val="ListParagraph"/>
        <w:numPr>
          <w:ilvl w:val="0"/>
          <w:numId w:val="3"/>
        </w:numPr>
        <w:spacing w:after="100" w:line="270"/>
      </w:pPr>
      <w:r>
        <w:rPr>
          <w:b/>
          <w:bCs/>
        </w:rPr>
        <w:t xml:space="preserve">An audience no other show brings together. </w:t>
      </w:r>
      <w:r>
        <w:t xml:space="preserve">Technical directors of media groups, station CIOs, broadcast directors, infrastructure buyers, podcast studio heads, programmatic trading desks — all under one roof.</w:t>
      </w:r>
    </w:p>
    <w:p>
      <w:pPr>
        <w:pStyle w:val="ListParagraph"/>
        <w:numPr>
          <w:ilvl w:val="0"/>
          <w:numId w:val="3"/>
        </w:numPr>
        <w:spacing w:after="100" w:line="270"/>
      </w:pPr>
      <w:r>
        <w:rPr>
          <w:b/>
          <w:bCs/>
        </w:rPr>
        <w:t xml:space="preserve">A converging space, not a niche. </w:t>
      </w:r>
      <w:r>
        <w:t xml:space="preserve">Partners don’t just reach “their” sector: they meet buyers from the neighbouring sectors, where tomorrow’s real opportunities lie.</w:t>
      </w:r>
    </w:p>
    <w:p>
      <w:pPr>
        <w:pStyle w:val="ListParagraph"/>
        <w:numPr>
          <w:ilvl w:val="0"/>
          <w:numId w:val="3"/>
        </w:numPr>
        <w:spacing w:after="100" w:line="270"/>
      </w:pPr>
      <w:r>
        <w:rPr>
          <w:b/>
          <w:bCs/>
        </w:rPr>
        <w:t xml:space="preserve">Three cities, one event. </w:t>
      </w:r>
      <w:r>
        <w:t xml:space="preserve">Marseille, Paris and Brussels: national presence and international reach in a single partnership.</w:t>
      </w:r>
    </w:p>
    <w:p>
      <w:pPr>
        <w:pStyle w:val="ListParagraph"/>
        <w:numPr>
          <w:ilvl w:val="0"/>
          <w:numId w:val="3"/>
        </w:numPr>
        <w:spacing w:after="100" w:line="270"/>
      </w:pPr>
      <w:r>
        <w:rPr>
          <w:b/>
          <w:bCs/>
        </w:rPr>
        <w:t xml:space="preserve">Space books up before the sector fills. </w:t>
      </w:r>
      <w:r>
        <w:t xml:space="preserve">The number of stands is limited (≈ 184 at the Carrousel). It is a real urgency argument: the best locations go first.</w:t>
      </w:r>
    </w:p>
    <w:p>
      <w:pPr>
        <w:pStyle w:val="Heading1"/>
      </w:pPr>
      <w:r>
        <w:t xml:space="preserve">5. MediaDays Solutions ≠ MediaDays Classic</w:t>
      </w:r>
    </w:p>
    <w:p>
      <w:pPr>
        <w:spacing w:after="140" w:line="276"/>
      </w:pPr>
      <w:r>
        <w:t xml:space="preserve">There are two events under the MediaDays name. You need to tell them apart — so you don’t target the wrong companies, and so you can answer clearly if a prospect asks.</w:t>
      </w:r>
    </w:p>
    <w:p>
      <w:pPr>
        <w:spacing w:after="40"/>
      </w:pPr>
      <w:r>
        <w:t xml:space="preserve"/>
      </w:r>
    </w:p>
    <w:p>
      <w:pPr>
        <w:pStyle w:val="Heading2"/>
      </w:pPr>
      <w:r>
        <w:t xml:space="preserve">What is MediaDays Classic?</w:t>
      </w:r>
    </w:p>
    <w:p>
      <w:pPr>
        <w:spacing w:after="140" w:line="276"/>
      </w:pPr>
      <w:r>
        <w:t xml:space="preserve">MediaDays Classic is the “legacy” event organised by </w:t>
      </w:r>
      <w:r>
        <w:rPr>
          <w:b/>
          <w:bCs/>
        </w:rPr>
        <w:t xml:space="preserve">Havas</w:t>
      </w:r>
      <w:r>
        <w:t xml:space="preserve"> since 2023. It brings together the world of </w:t>
      </w:r>
      <w:r>
        <w:rPr>
          <w:b/>
          <w:bCs/>
        </w:rPr>
        <w:t xml:space="preserve">ad networks, retail media, agencies and publishers</w:t>
      </w:r>
      <w:r>
        <w:t xml:space="preserve"> — in other words, ad-space sales and media monetisation on the advertiser side. It is a respectable, complementary world, but it is a </w:t>
      </w:r>
      <w:r>
        <w:rPr>
          <w:b/>
          <w:bCs/>
        </w:rPr>
        <w:t xml:space="preserve">different scope</w:t>
      </w:r>
      <w:r>
        <w:t xml:space="preserve">, with its own website: </w:t>
      </w:r>
      <w:r>
        <w:rPr>
          <w:b/>
          <w:bCs/>
        </w:rPr>
        <w:t xml:space="preserve">mediadays.net</w:t>
      </w:r>
      <w:r>
        <w:t xml:space="preserve">.</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294294" w:val="clear"/>
            <w:tcMar>
              <w:top w:type="dxa" w:w="90"/>
              <w:left w:type="dxa" w:w="120"/>
              <w:bottom w:type="dxa" w:w="90"/>
              <w:right w:type="dxa" w:w="120"/>
            </w:tcMar>
          </w:tcPr>
          <w:p>
            <w:pPr>
              <w:spacing w:after="140" w:line="276"/>
            </w:pPr>
            <w:r>
              <w:t xml:space="preserve"/>
            </w:r>
          </w:p>
        </w:tc>
        <w:tc>
          <w:tcPr>
            <w:tcW w:type="dxa" w:w="3120"/>
            <w:shd w:fill="E6007E" w:val="clear"/>
            <w:tcMar>
              <w:top w:type="dxa" w:w="90"/>
              <w:left w:type="dxa" w:w="120"/>
              <w:bottom w:type="dxa" w:w="90"/>
              <w:right w:type="dxa" w:w="120"/>
            </w:tcMar>
          </w:tcPr>
          <w:p>
            <w:pPr>
              <w:spacing w:after="140" w:line="276"/>
            </w:pPr>
            <w:r>
              <w:rPr>
                <w:b/>
                <w:bCs/>
                <w:color w:val="FFFFFF"/>
              </w:rPr>
              <w:t xml:space="preserve">MediaDays SOLUTIONS</w:t>
            </w:r>
          </w:p>
        </w:tc>
        <w:tc>
          <w:tcPr>
            <w:tcW w:type="dxa" w:w="3120"/>
            <w:shd w:fill="B7791F" w:val="clear"/>
            <w:tcMar>
              <w:top w:type="dxa" w:w="90"/>
              <w:left w:type="dxa" w:w="120"/>
              <w:bottom w:type="dxa" w:w="90"/>
              <w:right w:type="dxa" w:w="120"/>
            </w:tcMar>
          </w:tcPr>
          <w:p>
            <w:pPr>
              <w:spacing w:after="140" w:line="276"/>
            </w:pPr>
            <w:r>
              <w:rPr>
                <w:b/>
                <w:bCs/>
                <w:color w:val="FFFFFF"/>
              </w:rPr>
              <w:t xml:space="preserve">MediaDays CLASSIC</w:t>
            </w:r>
          </w:p>
        </w:tc>
      </w:tr>
      <w:tr>
        <w:tc>
          <w:tcPr>
            <w:tcW w:type="dxa" w:w="3120"/>
            <w:shd w:fill="F2F4FA" w:val="clear"/>
            <w:tcMar>
              <w:top w:type="dxa" w:w="80"/>
              <w:left w:type="dxa" w:w="120"/>
              <w:bottom w:type="dxa" w:w="80"/>
              <w:right w:type="dxa" w:w="120"/>
            </w:tcMar>
          </w:tcPr>
          <w:p>
            <w:pPr>
              <w:spacing w:after="140" w:line="276"/>
            </w:pPr>
            <w:r>
              <w:rPr>
                <w:b/>
                <w:bCs/>
                <w:color w:val="294294"/>
              </w:rPr>
              <w:t xml:space="preserve">Organiser</w:t>
            </w:r>
          </w:p>
        </w:tc>
        <w:tc>
          <w:tcPr>
            <w:tcW w:type="dxa" w:w="3120"/>
            <w:shd w:fill="F2F4FA" w:val="clear"/>
            <w:tcMar>
              <w:top w:type="dxa" w:w="80"/>
              <w:left w:type="dxa" w:w="120"/>
              <w:bottom w:type="dxa" w:w="80"/>
              <w:right w:type="dxa" w:w="120"/>
            </w:tcMar>
          </w:tcPr>
          <w:p>
            <w:pPr>
              <w:spacing w:after="140" w:line="276"/>
            </w:pPr>
            <w:r>
              <w:t xml:space="preserve">Havas — Editions HF technical provider (space &amp; logistics)</w:t>
            </w:r>
          </w:p>
        </w:tc>
        <w:tc>
          <w:tcPr>
            <w:tcW w:type="dxa" w:w="3120"/>
            <w:shd w:fill="F2F4FA" w:val="clear"/>
            <w:tcMar>
              <w:top w:type="dxa" w:w="80"/>
              <w:left w:type="dxa" w:w="120"/>
              <w:bottom w:type="dxa" w:w="80"/>
              <w:right w:type="dxa" w:w="120"/>
            </w:tcMar>
          </w:tcPr>
          <w:p>
            <w:pPr>
              <w:spacing w:after="140" w:line="276"/>
            </w:pPr>
            <w:r>
              <w:t xml:space="preserve">Havas</w:t>
            </w:r>
          </w:p>
        </w:tc>
      </w:tr>
      <w:tr>
        <w:tc>
          <w:tcPr>
            <w:tcW w:type="dxa" w:w="3120"/>
            <w:shd w:fill="FFFFFF" w:val="clear"/>
            <w:tcMar>
              <w:top w:type="dxa" w:w="80"/>
              <w:left w:type="dxa" w:w="120"/>
              <w:bottom w:type="dxa" w:w="80"/>
              <w:right w:type="dxa" w:w="120"/>
            </w:tcMar>
          </w:tcPr>
          <w:p>
            <w:pPr>
              <w:spacing w:after="140" w:line="276"/>
            </w:pPr>
            <w:r>
              <w:rPr>
                <w:b/>
                <w:bCs/>
                <w:color w:val="294294"/>
              </w:rPr>
              <w:t xml:space="preserve">Scope</w:t>
            </w:r>
          </w:p>
        </w:tc>
        <w:tc>
          <w:tcPr>
            <w:tcW w:type="dxa" w:w="3120"/>
            <w:shd w:fill="FFFFFF" w:val="clear"/>
            <w:tcMar>
              <w:top w:type="dxa" w:w="80"/>
              <w:left w:type="dxa" w:w="120"/>
              <w:bottom w:type="dxa" w:w="80"/>
              <w:right w:type="dxa" w:w="120"/>
            </w:tcMar>
          </w:tcPr>
          <w:p>
            <w:pPr>
              <w:spacing w:after="140" w:line="276"/>
            </w:pPr>
            <w:r>
              <w:t xml:space="preserve">Media tech: audio, radio, video, CTV, outdoor, DOOH, broadcast, data</w:t>
            </w:r>
          </w:p>
        </w:tc>
        <w:tc>
          <w:tcPr>
            <w:tcW w:type="dxa" w:w="3120"/>
            <w:shd w:fill="FFFFFF" w:val="clear"/>
            <w:tcMar>
              <w:top w:type="dxa" w:w="80"/>
              <w:left w:type="dxa" w:w="120"/>
              <w:bottom w:type="dxa" w:w="80"/>
              <w:right w:type="dxa" w:w="120"/>
            </w:tcMar>
          </w:tcPr>
          <w:p>
            <w:pPr>
              <w:spacing w:after="140" w:line="276"/>
            </w:pPr>
            <w:r>
              <w:t xml:space="preserve">Ad networks, retail media, agencies, publishers</w:t>
            </w:r>
          </w:p>
        </w:tc>
      </w:tr>
      <w:tr>
        <w:tc>
          <w:tcPr>
            <w:tcW w:type="dxa" w:w="3120"/>
            <w:shd w:fill="F2F4FA" w:val="clear"/>
            <w:tcMar>
              <w:top w:type="dxa" w:w="80"/>
              <w:left w:type="dxa" w:w="120"/>
              <w:bottom w:type="dxa" w:w="80"/>
              <w:right w:type="dxa" w:w="120"/>
            </w:tcMar>
          </w:tcPr>
          <w:p>
            <w:pPr>
              <w:spacing w:after="140" w:line="276"/>
            </w:pPr>
            <w:r>
              <w:rPr>
                <w:b/>
                <w:bCs/>
                <w:color w:val="294294"/>
              </w:rPr>
              <w:t xml:space="preserve">Partner site</w:t>
            </w:r>
          </w:p>
        </w:tc>
        <w:tc>
          <w:tcPr>
            <w:tcW w:type="dxa" w:w="3120"/>
            <w:shd w:fill="F2F4FA" w:val="clear"/>
            <w:tcMar>
              <w:top w:type="dxa" w:w="80"/>
              <w:left w:type="dxa" w:w="120"/>
              <w:bottom w:type="dxa" w:w="80"/>
              <w:right w:type="dxa" w:w="120"/>
            </w:tcMar>
          </w:tcPr>
          <w:p>
            <w:pPr>
              <w:spacing w:after="140" w:line="276"/>
            </w:pPr>
            <w:r>
              <w:t xml:space="preserve">mediadays.solutions</w:t>
            </w:r>
          </w:p>
        </w:tc>
        <w:tc>
          <w:tcPr>
            <w:tcW w:type="dxa" w:w="3120"/>
            <w:shd w:fill="F2F4FA" w:val="clear"/>
            <w:tcMar>
              <w:top w:type="dxa" w:w="80"/>
              <w:left w:type="dxa" w:w="120"/>
              <w:bottom w:type="dxa" w:w="80"/>
              <w:right w:type="dxa" w:w="120"/>
            </w:tcMar>
          </w:tcPr>
          <w:p>
            <w:pPr>
              <w:spacing w:after="140" w:line="276"/>
            </w:pPr>
            <w:r>
              <w:t xml:space="preserve">mediadays.net</w:t>
            </w:r>
          </w:p>
        </w:tc>
      </w:tr>
      <w:tr>
        <w:tc>
          <w:tcPr>
            <w:tcW w:type="dxa" w:w="3120"/>
            <w:shd w:fill="FFFFFF" w:val="clear"/>
            <w:tcMar>
              <w:top w:type="dxa" w:w="80"/>
              <w:left w:type="dxa" w:w="120"/>
              <w:bottom w:type="dxa" w:w="80"/>
              <w:right w:type="dxa" w:w="120"/>
            </w:tcMar>
          </w:tcPr>
          <w:p>
            <w:pPr>
              <w:spacing w:after="140" w:line="276"/>
            </w:pPr>
            <w:r>
              <w:rPr>
                <w:b/>
                <w:bCs/>
                <w:color w:val="294294"/>
              </w:rPr>
              <w:t xml:space="preserve">Your affiliation</w:t>
            </w:r>
          </w:p>
        </w:tc>
        <w:tc>
          <w:tcPr>
            <w:tcW w:type="dxa" w:w="3120"/>
            <w:shd w:fill="FFFFFF" w:val="clear"/>
            <w:tcMar>
              <w:top w:type="dxa" w:w="80"/>
              <w:left w:type="dxa" w:w="120"/>
              <w:bottom w:type="dxa" w:w="80"/>
              <w:right w:type="dxa" w:w="120"/>
            </w:tcMar>
          </w:tcPr>
          <w:p>
            <w:pPr>
              <w:spacing w:after="140" w:line="276"/>
            </w:pPr>
            <w:r>
              <w:t xml:space="preserve">✅ YES — this is your turf</w:t>
            </w:r>
          </w:p>
        </w:tc>
        <w:tc>
          <w:tcPr>
            <w:tcW w:type="dxa" w:w="3120"/>
            <w:shd w:fill="FFFFFF" w:val="clear"/>
            <w:tcMar>
              <w:top w:type="dxa" w:w="80"/>
              <w:left w:type="dxa" w:w="120"/>
              <w:bottom w:type="dxa" w:w="80"/>
              <w:right w:type="dxa" w:w="120"/>
            </w:tcMar>
          </w:tcPr>
          <w:p>
            <w:pPr>
              <w:spacing w:after="140" w:line="276"/>
            </w:pPr>
            <w:r>
              <w:t xml:space="preserve">❌ NO — out of scope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91F" w:sz="4"/>
              <w:left w:val="single" w:color="B7791F" w:sz="18"/>
              <w:bottom w:val="single" w:color="B7791F" w:sz="4"/>
              <w:right w:val="single" w:color="B7791F" w:sz="4"/>
            </w:tcBorders>
            <w:shd w:fill="FFF6E5" w:val="clear"/>
            <w:tcMar>
              <w:top w:type="dxa" w:w="140"/>
              <w:left w:type="dxa" w:w="220"/>
              <w:bottom w:type="dxa" w:w="140"/>
              <w:right w:type="dxa" w:w="200"/>
            </w:tcMar>
          </w:tcPr>
          <w:p>
            <w:pPr>
              <w:spacing w:after="140" w:line="276"/>
            </w:pPr>
            <w:r>
              <w:rPr>
                <w:b/>
                <w:bCs/>
                <w:color w:val="B7791F"/>
                <w:sz w:val="24"/>
                <w:szCs w:val="24"/>
              </w:rPr>
              <w:t xml:space="preserve">⚠️ The golden rule of your affiliation</w:t>
            </w:r>
          </w:p>
          <w:p>
            <w:pPr>
              <w:spacing w:after="140" w:line="276"/>
            </w:pPr>
            <w:r>
              <w:t xml:space="preserve">You bring in partners for the MediaDays </w:t>
            </w:r>
            <w:r>
              <w:rPr>
                <w:b/>
                <w:bCs/>
              </w:rPr>
              <w:t xml:space="preserve">Solutions</w:t>
            </w:r>
            <w:r>
              <w:t xml:space="preserve"> (the 5 tech sectors, site </w:t>
            </w:r>
            <w:r>
              <w:rPr>
                <w:b/>
                <w:bCs/>
              </w:rPr>
              <w:t xml:space="preserve">mediadays.solutions</w:t>
            </w:r>
            <w:r>
              <w:t xml:space="preserve">). You </w:t>
            </w:r>
            <w:r>
              <w:rPr>
                <w:b/>
                <w:bCs/>
              </w:rPr>
              <w:t xml:space="preserve">never</w:t>
            </w:r>
            <w:r>
              <w:t xml:space="preserve"> prospect for the MediaDays Classic: ad networks, retail media, creative agencies and press/digital publishers belong to Havas and do not count toward your affiliation.</w:t>
            </w:r>
          </w:p>
          <w:p>
            <w:pPr>
              <w:spacing w:after="0"/>
            </w:pPr>
            <w:r>
              <w:t xml:space="preserve">When in doubt about a prospect: “Do they </w:t>
            </w:r>
            <w:r>
              <w:rPr>
                <w:b/>
                <w:bCs/>
              </w:rPr>
              <w:t xml:space="preserve">build, distribute or operate</w:t>
            </w:r>
            <w:r>
              <w:t xml:space="preserve"> media technology?” If yes → it is for you. If it is an ad network that </w:t>
            </w:r>
            <w:r>
              <w:rPr>
                <w:b/>
                <w:bCs/>
              </w:rPr>
              <w:t xml:space="preserve">sells advertising</w:t>
            </w:r>
            <w:r>
              <w:t xml:space="preserve"> → it is Classic, not you.</w:t>
            </w:r>
          </w:p>
        </w:tc>
      </w:tr>
    </w:tbl>
    <w:p>
      <w:pPr>
        <w:pStyle w:val="Heading1"/>
        <w:pageBreakBefore/>
      </w:pPr>
      <w:r>
        <w:t xml:space="preserve">6. Objection-handling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18"/>
              <w:bottom w:val="single" w:color="CCCCCC" w:sz="4"/>
              <w:right w:val="single" w:color="CCCCCC" w:sz="4"/>
            </w:tcBorders>
            <w:shd w:fill="FFFFFF" w:val="clear"/>
            <w:tcMar>
              <w:top w:type="dxa" w:w="140"/>
              <w:left w:type="dxa" w:w="220"/>
              <w:bottom w:type="dxa" w:w="140"/>
              <w:right w:type="dxa" w:w="200"/>
            </w:tcMar>
          </w:tcPr>
          <w:p>
            <w:pPr>
              <w:spacing w:after="60"/>
            </w:pPr>
            <w:r>
              <w:rPr>
                <w:b/>
                <w:bCs/>
                <w:color w:val="294294"/>
              </w:rPr>
              <w:t xml:space="preserve">❓ “It’s a new show, I don’t know it.”</w:t>
            </w:r>
          </w:p>
          <w:p>
            <w:pPr>
              <w:spacing w:after="0"/>
            </w:pPr>
            <w:r>
              <w:rPr>
                <w:b/>
                <w:bCs/>
                <w:color w:val="E6007E"/>
              </w:rPr>
              <w:t xml:space="preserve">→ </w:t>
            </w:r>
            <w:r>
              <w:rPr>
                <w:i/>
                <w:iCs/>
              </w:rPr>
              <w:t xml:space="preserve">“The Audio sector is the Paris Radio Show — an established event with its own audience. The MediaDays Solutions expand it to the whole tech value chain: you get the Paris Radio Show’s reputation plus a much wider buyer audience.”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18"/>
              <w:bottom w:val="single" w:color="CCCCCC" w:sz="4"/>
              <w:right w:val="single" w:color="CCCCCC" w:sz="4"/>
            </w:tcBorders>
            <w:shd w:fill="FFFFFF" w:val="clear"/>
            <w:tcMar>
              <w:top w:type="dxa" w:w="140"/>
              <w:left w:type="dxa" w:w="220"/>
              <w:bottom w:type="dxa" w:w="140"/>
              <w:right w:type="dxa" w:w="200"/>
            </w:tcMar>
          </w:tcPr>
          <w:p>
            <w:pPr>
              <w:spacing w:after="60"/>
            </w:pPr>
            <w:r>
              <w:rPr>
                <w:b/>
                <w:bCs/>
                <w:color w:val="294294"/>
              </w:rPr>
              <w:t xml:space="preserve">❓ “I’m already present at other shows / at MediaDays Classic.”</w:t>
            </w:r>
          </w:p>
          <w:p>
            <w:pPr>
              <w:spacing w:after="0"/>
            </w:pPr>
            <w:r>
              <w:rPr>
                <w:b/>
                <w:bCs/>
                <w:color w:val="E6007E"/>
              </w:rPr>
              <w:t xml:space="preserve">→ </w:t>
            </w:r>
            <w:r>
              <w:rPr>
                <w:i/>
                <w:iCs/>
              </w:rPr>
              <w:t xml:space="preserve">“It’s not the same audience. Classic gathers ad networks and advertisers; Solutions gathers the people who buy and deploy media technology. Your technical customers are at Solutions.”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18"/>
              <w:bottom w:val="single" w:color="CCCCCC" w:sz="4"/>
              <w:right w:val="single" w:color="CCCCCC" w:sz="4"/>
            </w:tcBorders>
            <w:shd w:fill="FFFFFF" w:val="clear"/>
            <w:tcMar>
              <w:top w:type="dxa" w:w="140"/>
              <w:left w:type="dxa" w:w="220"/>
              <w:bottom w:type="dxa" w:w="140"/>
              <w:right w:type="dxa" w:w="200"/>
            </w:tcMar>
          </w:tcPr>
          <w:p>
            <w:pPr>
              <w:spacing w:after="60"/>
            </w:pPr>
            <w:r>
              <w:rPr>
                <w:b/>
                <w:bCs/>
                <w:color w:val="294294"/>
              </w:rPr>
              <w:t xml:space="preserve">❓ “A stand is expensive.”</w:t>
            </w:r>
          </w:p>
          <w:p>
            <w:pPr>
              <w:spacing w:after="0"/>
            </w:pPr>
            <w:r>
              <w:rPr>
                <w:b/>
                <w:bCs/>
                <w:color w:val="E6007E"/>
              </w:rPr>
              <w:t xml:space="preserve">→ </w:t>
            </w:r>
            <w:r>
              <w:rPr>
                <w:i/>
                <w:iCs/>
              </w:rPr>
              <w:t xml:space="preserve">“What is a meeting with a broadcast director or a station CIO worth? Here you meet dozens of them in three days, across three cities. The cost per qualified contact is unbeatable. And there are several space formats to fit your budget.”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18"/>
              <w:bottom w:val="single" w:color="CCCCCC" w:sz="4"/>
              <w:right w:val="single" w:color="CCCCCC" w:sz="4"/>
            </w:tcBorders>
            <w:shd w:fill="FFFFFF" w:val="clear"/>
            <w:tcMar>
              <w:top w:type="dxa" w:w="140"/>
              <w:left w:type="dxa" w:w="220"/>
              <w:bottom w:type="dxa" w:w="140"/>
              <w:right w:type="dxa" w:w="200"/>
            </w:tcMar>
          </w:tcPr>
          <w:p>
            <w:pPr>
              <w:spacing w:after="60"/>
            </w:pPr>
            <w:r>
              <w:rPr>
                <w:b/>
                <w:bCs/>
                <w:color w:val="294294"/>
              </w:rPr>
              <w:t xml:space="preserve">❓ “I don’t have time to organise this.”</w:t>
            </w:r>
          </w:p>
          <w:p>
            <w:pPr>
              <w:spacing w:after="0"/>
            </w:pPr>
            <w:r>
              <w:rPr>
                <w:b/>
                <w:bCs/>
                <w:color w:val="E6007E"/>
              </w:rPr>
              <w:t xml:space="preserve">→ </w:t>
            </w:r>
            <w:r>
              <w:rPr>
                <w:i/>
                <w:iCs/>
              </w:rPr>
              <w:t xml:space="preserve">“Registration is done online at mediadays.solutions, and the team supports you. Book the location now, we’ll sort out the details later — what matters is securing the space before the sector fills up.”</w:t>
            </w:r>
          </w:p>
        </w:tc>
      </w:tr>
    </w:tbl>
    <w:p>
      <w:pPr>
        <w:pStyle w:val="Heading1"/>
      </w:pPr>
      <w:r>
        <w:t xml:space="preserve">7. How to close</w:t>
      </w:r>
    </w:p>
    <w:p>
      <w:pPr>
        <w:pStyle w:val="ListParagraph"/>
        <w:numPr>
          <w:ilvl w:val="0"/>
          <w:numId w:val="4"/>
        </w:numPr>
        <w:spacing w:after="100" w:line="270"/>
      </w:pPr>
      <w:r>
        <w:rPr>
          <w:b/>
          <w:bCs/>
        </w:rPr>
        <w:t xml:space="preserve">Qualify: </w:t>
      </w:r>
      <w:r>
        <w:t xml:space="preserve">does the prospect build/distribute/operate media technology? (if not, they are not a Solutions partner).</w:t>
      </w:r>
    </w:p>
    <w:p>
      <w:pPr>
        <w:pStyle w:val="ListParagraph"/>
        <w:numPr>
          <w:ilvl w:val="0"/>
          <w:numId w:val="4"/>
        </w:numPr>
        <w:spacing w:after="100" w:line="270"/>
      </w:pPr>
      <w:r>
        <w:rPr>
          <w:b/>
          <w:bCs/>
        </w:rPr>
        <w:t xml:space="preserve">Place them in their sector </w:t>
      </w:r>
      <w:r>
        <w:t xml:space="preserve">and name a concrete benefit: “you’re right in the Video &amp; CTV sector, next to the broadcast buyers”.</w:t>
      </w:r>
    </w:p>
    <w:p>
      <w:pPr>
        <w:pStyle w:val="ListParagraph"/>
        <w:numPr>
          <w:ilvl w:val="0"/>
          <w:numId w:val="4"/>
        </w:numPr>
        <w:spacing w:after="100" w:line="270"/>
      </w:pPr>
      <w:r>
        <w:rPr>
          <w:b/>
          <w:bCs/>
        </w:rPr>
        <w:t xml:space="preserve">Create urgency: </w:t>
      </w:r>
      <w:r>
        <w:t xml:space="preserve">limited number of stands, best locations first.</w:t>
      </w:r>
    </w:p>
    <w:p>
      <w:pPr>
        <w:pStyle w:val="ListParagraph"/>
        <w:numPr>
          <w:ilvl w:val="0"/>
          <w:numId w:val="4"/>
        </w:numPr>
        <w:spacing w:after="100" w:line="270"/>
      </w:pPr>
      <w:r>
        <w:rPr>
          <w:b/>
          <w:bCs/>
        </w:rPr>
        <w:t xml:space="preserve">Drive to action: </w:t>
      </w:r>
      <w:r>
        <w:t xml:space="preserve">booking at </w:t>
      </w:r>
      <w:r>
        <w:rPr>
          <w:b/>
          <w:bCs/>
          <w:color w:val="E6007E"/>
        </w:rPr>
        <w:t xml:space="preserve">mediadays.solutions</w:t>
      </w:r>
      <w:r>
        <w:t xml:space="preserve">, or pass on the contact and we will take it from there.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4294" w:sz="4"/>
              <w:left w:val="single" w:color="294294" w:sz="18"/>
              <w:bottom w:val="single" w:color="294294" w:sz="4"/>
              <w:right w:val="single" w:color="294294" w:sz="4"/>
            </w:tcBorders>
            <w:shd w:fill="F2F4FA" w:val="clear"/>
            <w:tcMar>
              <w:top w:type="dxa" w:w="140"/>
              <w:left w:type="dxa" w:w="220"/>
              <w:bottom w:type="dxa" w:w="140"/>
              <w:right w:type="dxa" w:w="200"/>
            </w:tcMar>
          </w:tcPr>
          <w:p>
            <w:pPr>
              <w:spacing w:after="60"/>
            </w:pPr>
            <w:r>
              <w:rPr>
                <w:b/>
                <w:bCs/>
                <w:color w:val="294294"/>
              </w:rPr>
              <w:t xml:space="preserve">The closing line</w:t>
            </w:r>
          </w:p>
          <w:p>
            <w:pPr>
              <w:spacing w:after="0"/>
            </w:pPr>
            <w:r>
              <w:rPr>
                <w:i/>
                <w:iCs/>
              </w:rPr>
              <w:t xml:space="preserve">“The MediaDays Solutions is the European hotspot where the people building tomorrow’s media meet. And there is still space in your sector — for now.”</w:t>
            </w:r>
          </w:p>
        </w:tc>
      </w:tr>
    </w:tbl>
    <w:p>
      <w:pPr>
        <w:spacing w:after="120"/>
      </w:pPr>
      <w:r>
        <w:t xml:space="preserve"/>
      </w:r>
    </w:p>
    <w:p>
      <w:pPr>
        <w:jc w:val="center"/>
      </w:pPr>
      <w:r>
        <w:rPr>
          <w:i/>
          <w:iCs/>
          <w:color w:val="595959"/>
          <w:sz w:val="16"/>
          <w:szCs w:val="16"/>
        </w:rPr>
        <w:t xml:space="preserve">Internal working document — Editions HF · MediaDays Solutions 2026</w:t>
      </w:r>
    </w:p>
    <w:sectPr>
      <w:headerReference w:type="default" r:id="rId7"/>
      <w:footerReference w:type="default" r:id="rId8"/>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Editions HF — Podcast &amp; RadioHouse · mediadays.solutions · </w:t>
    </w: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94294" w:sz="6" w:space="4"/>
      </w:pBdr>
      <w:tabs>
        <w:tab w:val="right" w:pos="9360"/>
      </w:tabs>
      <w:spacing w:after="60"/>
    </w:pPr>
    <w:r>
      <w:rPr>
        <w:b/>
        <w:bCs/>
        <w:color w:val="294294"/>
        <w:sz w:val="16"/>
        <w:szCs w:val="16"/>
      </w:rPr>
      <w:t xml:space="preserve">MEDIADAYS SOLUTIONS 2026</w:t>
    </w:r>
    <w:r>
      <w:rPr>
        <w:color w:val="595959"/>
        <w:sz w:val="16"/>
        <w:szCs w:val="16"/>
      </w:rPr>
      <w:t xml:space="preserve">	Affiliate pitch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320"/>
      </w:pPr>
    </w:lvl>
  </w:abstractNum>
  <w:abstractNum w:abstractNumId="4"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294294"/>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E6007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2026-06-01T12:55:09.527Z</dcterms:created>
  <dcterms:modified xsi:type="dcterms:W3CDTF">2026-06-01T12:55:09.528Z</dcterms:modified>
</cp:coreProperties>
</file>

<file path=docProps/custom.xml><?xml version="1.0" encoding="utf-8"?>
<Properties xmlns="http://schemas.openxmlformats.org/officeDocument/2006/custom-properties" xmlns:vt="http://schemas.openxmlformats.org/officeDocument/2006/docPropsVTypes"/>
</file>