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Erbringung von Winterdiensten und Grünflächenpflege für die BwDLZ Hamburg betrachtet. Der Untersuchungsgegenstand umfasst die technische, wirtschaftliche und organisatorische Machbarkeit einer Lösung für eine kontinuierliche Bedarfsdeckung über einen Betrachtungszeitraum von zehn Jahren. Es werden drei grundsätzlich mögliche Beschaffungsalternativen untersucht: Neukauf eines Allradschleppers, Leasing sowie Externe Dienstleistung durch Lohnunternehmer.</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Allradschleppers) umzusetzen. Diese Option erzielt mit einem Kapitalwert von 89.850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85.200 EUR</w:t>
            </w:r>
          </w:p>
        </w:tc>
        <w:tc>
          <w:tcPr>
            <w:tcW w:type="dxa" w:w="3024"/>
          </w:tcPr>
          <w:p>
            <w:pPr>
              <w:jc w:val="center"/>
            </w:pPr>
            <w:r>
              <w:rPr>
                <w:rFonts w:ascii="BundesSans Office" w:hAnsi="BundesSans Office"/>
                <w:sz w:val="22"/>
              </w:rPr>
              <w:t>89.850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112.500 EUR</w:t>
            </w:r>
          </w:p>
        </w:tc>
        <w:tc>
          <w:tcPr>
            <w:tcW w:type="dxa" w:w="3024"/>
          </w:tcPr>
          <w:p>
            <w:pPr>
              <w:jc w:val="center"/>
            </w:pPr>
            <w:r>
              <w:rPr>
                <w:rFonts w:ascii="BundesSans Office" w:hAnsi="BundesSans Office"/>
                <w:sz w:val="22"/>
              </w:rPr>
              <w:t>118.200 EUR</w:t>
            </w:r>
          </w:p>
        </w:tc>
      </w:tr>
      <w:tr>
        <w:tc>
          <w:tcPr>
            <w:tcW w:type="dxa" w:w="3024"/>
          </w:tcPr>
          <w:p>
            <w:pPr>
              <w:jc w:val="center"/>
            </w:pPr>
            <w:r>
              <w:rPr>
                <w:rFonts w:ascii="BundesSans Office" w:hAnsi="BundesSans Office"/>
                <w:sz w:val="22"/>
              </w:rPr>
              <w:t>Option 4: Externe DL</w:t>
            </w:r>
          </w:p>
        </w:tc>
        <w:tc>
          <w:tcPr>
            <w:tcW w:type="dxa" w:w="3024"/>
          </w:tcPr>
          <w:p>
            <w:pPr>
              <w:jc w:val="center"/>
            </w:pPr>
            <w:r>
              <w:rPr>
                <w:rFonts w:ascii="BundesSans Office" w:hAnsi="BundesSans Office"/>
                <w:sz w:val="22"/>
              </w:rPr>
              <w:t>156.000 EUR</w:t>
            </w:r>
          </w:p>
        </w:tc>
        <w:tc>
          <w:tcPr>
            <w:tcW w:type="dxa" w:w="3024"/>
          </w:tcPr>
          <w:p>
            <w:pPr>
              <w:jc w:val="center"/>
            </w:pPr>
            <w:r>
              <w:rPr>
                <w:rFonts w:ascii="BundesSans Office" w:hAnsi="BundesSans Office"/>
                <w:sz w:val="22"/>
              </w:rPr>
              <w:t>163.200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Hamburg benötigt die Fähigkeit, Winterdienste (Schneeräumung, Streudienste) und Grünflächenpflege (Mähen, Mulchen, Wegeunterhalt) durchzuführen. Der Bedarf umfasst eine Einsatzzeit von 100 Arbeitstagen pro Jahr mit durchschnittlich fünf Betriebsstunden pro Tag (insgesamt 500 Betriebsstunden jährlich). Die Maßnahme erfordert ein Fahrzeug mit mindestens 150 PS Leistung und entsprechendem Zubehör für Winter- und Grünflächenarbeiten. Die Maßnahme ist erforderlich, um die Verkehrssicherheit und Infrastrukturpflege auf dem Gelände der BwDLZ Hamburg zu gewährleisten.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Winterdienst- und Grünflächenpflegeleistungen strukturell unveränderliche Aufgaben darstellen. Die Nutzungshäufigkeit wird mit 100 Arbeitstagen pro Jahr (500 Betriebsstunden jährlich) angenommen und bleibt über den Planungszeitraum stabil.</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Allradschleppers unterliegen den Bestimmungen der Bundeshaushaltsordnung (§ 7 BHO) sowie der Allgemeinen Regelung Wirtschaftlichkeitsuntersuchungen der Bundeswehr (AR A-2400/62). Alle Traktoren müssen der EU-Emissionsnorm Stage V entsprechen und mit Dieselpartikelfilter (DPF) und SCR-System ausgestattet sein. Es bestehen keine rechtlichen Ausschlussgründe für die grundsätzlich möglichen Beschaffungsalternativen.</w:t>
      </w:r>
    </w:p>
    <w:p>
      <w:pPr>
        <w:spacing w:before="60" w:after="60"/>
        <w:jc w:val="left"/>
      </w:pPr>
      <w:r>
        <w:rPr>
          <w:rFonts w:ascii="BundesSans Office" w:hAnsi="BundesSans Office"/>
          <w:b/>
          <w:color w:val="000000"/>
          <w:sz w:val="24"/>
        </w:rPr>
        <w:t>1.3.2 Technische Rahmenbedingungen</w:t>
      </w:r>
    </w:p>
    <w:p>
      <w:pPr>
        <w:spacing w:line="300" w:lineRule="auto"/>
        <w:jc w:val="both"/>
      </w:pPr>
      <w:r>
        <w:rPr>
          <w:rFonts w:ascii="BundesSans Office" w:hAnsi="BundesSans Office"/>
          <w:sz w:val="22"/>
        </w:rPr>
        <w:t>Der Schlepper muss eine Motorleistung von mindestens 150 PS aufweisen und über Schnellwechsel-Aufnahmen für Zubehör verfügen. Erforderlich ist die Ausrüstung für Winterdienste (Schneeschieber, Streuer) und Grünflächenpflege (Mähwerk, Mulcher). Die Infrastruktur der BwDLZ Hamburg (Unterstand, Wartungsbetrieb) ist vorhanden.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Das Fahrzeug muss bis Juni 2026 einsatzbereit verfügbar sein, um die Winterdienste und Grünflächenpflege ab Sommerhalbjahr 2026 durchzuführen. Eine kontinuierliche, täglich verfügbare Leistungserbringung ist erforderlich für Grünflächenpflege und Schneeräumungsbereitschaft.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Winterdienst- und Grünflächenpflegeleistungen werden derzeit durch zwei Mitarbeiter der BwDLZ Hamburg mit einem vorhandenen Allradschlepper erbracht. Der Prozessablauf gliedert sich in zwei Kernbereiche: Erstens werden in den Wintermonaten (November bis März) Schneeräumung und Streudienste auf den Liegenschaften durchgeführt. Zweitens erfolgt die Grünflächenpflege (Mähen, Mulchen, Wegeunterhalt) ganzjährig. Diese Prozesse sind zeitaufwendig und personalbindend.</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Winterdienst- und Grünflächenpflegeleistungen ist die Abteilung Liegenschaften und Infrastruktur zuständig, die der Betriebsleitung der BwDLZ Hamburg unterstellt ist. Die operative Verantwortung liegt beim Leiter Infrastruktur. Weitere beteiligte Stellen sind die Abteilung Arbeitssicherheit (für Fahrerqualifikation und Betriebsmittelprüfung) und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Erbringung von Winterdiensten und Grünflächenpflege werden zwei Vollzeitäquivalente (VZÄ) der Entgeltgruppe A5 eingesetzt. Die jährlichen Personalvollkosten betragen 75.000 Euro (Vollkosten gemäß PSK 2024).</w:t>
      </w:r>
    </w:p>
    <w:p>
      <w:pPr>
        <w:spacing w:line="300" w:lineRule="auto"/>
        <w:jc w:val="both"/>
      </w:pPr>
      <w:r>
        <w:rPr>
          <w:rFonts w:ascii="BundesSans Office" w:hAnsi="BundesSans Office"/>
          <w:sz w:val="22"/>
        </w:rPr>
        <w:t>Rechenweg: 2 VZÄ (A5) × 37.500 EUR/VZÄ (PSK 2024) = 75.000 EUR; Gesamtpersonalkosten = 75.000 EUR/Jahr.</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Der Traktor verbraucht durchschnittlich 14 Liter Diesel pro Betriebsstunde. Bei 500 Betriebsstunden jährlich und einem Dieselpreis von 1,50 Euro pro Liter betragen die Dieselkosten 10.500 Euro pro Jahr. Zubehör und Ersatzteile belaufen sich auf 800 Euro jährlich.</w:t>
      </w:r>
    </w:p>
    <w:p>
      <w:pPr>
        <w:spacing w:line="300" w:lineRule="auto"/>
        <w:jc w:val="both"/>
      </w:pPr>
      <w:r>
        <w:rPr>
          <w:rFonts w:ascii="BundesSans Office" w:hAnsi="BundesSans Office"/>
          <w:sz w:val="22"/>
        </w:rPr>
        <w:t>Rechenweg: Diesel (500h × 14l × 1,50 EUR/l = 10.500 EUR) + Zubehör/Ersatzteile (800 EUR) = 11.300 EUR/Jahr.</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Der Traktor wird in einem vorhandenen Unterstand untergebracht. Die Infrastrukturkosten sind minimal, da die notwendigen Strukturen bereits existieren.</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Wartungs- und Reparaturkosten betragen 3.150 Euro pro Jahr (6,30 Euro je Betriebsstunde). Versicherung und Steuer kosten 700 Euro jährlich.</w:t>
      </w:r>
    </w:p>
    <w:p>
      <w:pPr>
        <w:spacing w:line="300" w:lineRule="auto"/>
        <w:jc w:val="both"/>
      </w:pPr>
      <w:r>
        <w:rPr>
          <w:rFonts w:ascii="BundesSans Office" w:hAnsi="BundesSans Office"/>
          <w:sz w:val="22"/>
        </w:rPr>
        <w:t>Rechenweg: Wartung/Reparatur (500h × 6,30 EUR/h = 3.150 EUR) + Versicherung/Steuer (700 EUR) = 3.850 EUR/Jahr.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direkten Einnahmen. Die Leistungen sind interne Bedarfsdeckung für die BwDLZ Hamburg.</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75.000,00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Material/Diesel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11.300,00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Sach- und DL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3.850,00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90.150,00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Winterdiensten und Grünflächenpflege werden vier grundsätzlich mögliche Optionen betrachtet.</w:t>
      </w:r>
    </w:p>
    <w:p>
      <w:pPr>
        <w:spacing w:line="300" w:lineRule="auto"/>
        <w:jc w:val="both"/>
      </w:pPr>
      <w:r>
        <w:rPr>
          <w:rFonts w:ascii="BundesSans Office" w:hAnsi="BundesSans Office"/>
          <w:sz w:val="22"/>
        </w:rPr>
        <w:t>Option 1 – Neukauf eines modernen Allradschleppers: Mit dieser Option wird ein neuer Traktor (mindestens 150 PS, Stage V) durch direkte Mittelbeschaffung erworben und anschließend durch die BwDLZ Hamburg in eigenständiger Verantwortung betrieben. Die Betriebsverantwortung für Wartung, Reparaturen und Betriebsmittel liegt bei der BwDLZ.</w:t>
      </w:r>
    </w:p>
    <w:p>
      <w:pPr>
        <w:spacing w:line="300" w:lineRule="auto"/>
        <w:jc w:val="both"/>
      </w:pPr>
      <w:r>
        <w:rPr>
          <w:rFonts w:ascii="BundesSans Office" w:hAnsi="BundesSans Office"/>
          <w:sz w:val="22"/>
        </w:rPr>
        <w:t>Option 2 – Leasing eines Allradschleppers: Mit dieser Option wird ein Leasingvertrag mit einem professionellen Leasinggeber über 48 Monate abgeschlossen. Der Leasinggeber trägt Wartungs- und Versicherungsrisiken und stellt bei technischen Defekten Ersatzgeräte zur Verfügung.</w:t>
      </w:r>
    </w:p>
    <w:p>
      <w:pPr>
        <w:spacing w:line="300" w:lineRule="auto"/>
        <w:jc w:val="both"/>
      </w:pPr>
      <w:r>
        <w:rPr>
          <w:rFonts w:ascii="BundesSans Office" w:hAnsi="BundesSans Office"/>
          <w:sz w:val="22"/>
        </w:rPr>
        <w:t>Option 3 – Miete nach Bedarf: Mit dieser Option wird ein Traktor flexibel bei Bedarf von Mietanbietern angemietet (tageweise/wochenweise). Maximale Flexibilität, aber hohe tägliche Mietgebühren.</w:t>
      </w:r>
    </w:p>
    <w:p>
      <w:pPr>
        <w:spacing w:line="300" w:lineRule="auto"/>
        <w:jc w:val="both"/>
      </w:pPr>
      <w:r>
        <w:rPr>
          <w:rFonts w:ascii="BundesSans Office" w:hAnsi="BundesSans Office"/>
          <w:sz w:val="22"/>
        </w:rPr>
        <w:t>Option 4 – Externe Dienstleistung: Mit dieser Option werden Winterdienst und Grünflächenpflege vollständig durch einen Lohnunternehmer erbracht. Die BwDLZ Hamburg hat nur noch Koordinierungsaufgaben und kann die beiden Mitarbeiter reduzieren.</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kontinuierliche, täglich verfügbare Grünflächenpflege sowie ganzjährige Schneeräumungsbereitschaft. Eine tageweise Miete führt zu einer wirtschaftlich unrentablen Dauermiete und ist für die erforderliche kontinuierliche Verfügbarkeit ungeeignet.</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Materialien/Diesel 2,0 Prozent pro Jahr, Dienstleistungen 2,0 Prozent pro Jahr.</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Parameter</w:t>
            </w:r>
          </w:p>
        </w:tc>
        <w:tc>
          <w:tcPr>
            <w:tcW w:type="dxa" w:w="4536"/>
            <w:shd w:fill="D3D3D3"/>
          </w:tcPr>
          <w:p>
            <w:pPr>
              <w:jc w:val="center"/>
            </w:pPr>
            <w:r>
              <w:rPr>
                <w:rFonts w:ascii="BundesSans Office" w:hAnsi="BundesSans Office"/>
                <w:b/>
                <w:sz w:val="22"/>
              </w:rPr>
              <w:t>Annahme</w:t>
            </w:r>
          </w:p>
        </w:tc>
      </w:tr>
      <w:tr>
        <w:tc>
          <w:tcPr>
            <w:tcW w:type="dxa" w:w="4536"/>
          </w:tcPr>
          <w:p>
            <w:pPr>
              <w:jc w:val="left"/>
            </w:pPr>
            <w:r>
              <w:rPr>
                <w:rFonts w:ascii="BundesSans Office" w:hAnsi="BundesSans Office"/>
                <w:sz w:val="22"/>
              </w:rPr>
              <w:t>Betrachtungszeitraum</w:t>
            </w:r>
          </w:p>
        </w:tc>
        <w:tc>
          <w:tcPr>
            <w:tcW w:type="dxa" w:w="4536"/>
          </w:tcPr>
          <w:p>
            <w:pPr>
              <w:jc w:val="center"/>
            </w:pPr>
            <w:r>
              <w:rPr>
                <w:rFonts w:ascii="BundesSans Office" w:hAnsi="BundesSans Office"/>
                <w:sz w:val="22"/>
              </w:rPr>
              <w:t>10 Jahre (2026–2036)</w:t>
            </w:r>
          </w:p>
        </w:tc>
      </w:tr>
      <w:tr>
        <w:tc>
          <w:tcPr>
            <w:tcW w:type="dxa" w:w="4536"/>
          </w:tcPr>
          <w:p>
            <w:pPr>
              <w:jc w:val="left"/>
            </w:pPr>
            <w:r>
              <w:rPr>
                <w:rFonts w:ascii="BundesSans Office" w:hAnsi="BundesSans Office"/>
                <w:sz w:val="22"/>
              </w:rPr>
              <w:t>Kalkulationszinssatz</w:t>
            </w:r>
          </w:p>
        </w:tc>
        <w:tc>
          <w:tcPr>
            <w:tcW w:type="dxa" w:w="4536"/>
          </w:tcPr>
          <w:p>
            <w:pPr>
              <w:jc w:val="center"/>
            </w:pPr>
            <w:r>
              <w:rPr>
                <w:rFonts w:ascii="BundesSans Office" w:hAnsi="BundesSans Office"/>
                <w:sz w:val="22"/>
              </w:rPr>
              <w:t>1,2% pro Jahr (BMF April 2026)</w:t>
            </w:r>
          </w:p>
        </w:tc>
      </w:tr>
      <w:tr>
        <w:tc>
          <w:tcPr>
            <w:tcW w:type="dxa" w:w="4536"/>
          </w:tcPr>
          <w:p>
            <w:pPr>
              <w:jc w:val="left"/>
            </w:pPr>
            <w:r>
              <w:rPr>
                <w:rFonts w:ascii="BundesSans Office" w:hAnsi="BundesSans Office"/>
                <w:sz w:val="22"/>
              </w:rPr>
              <w:t>Preissteigerung Personalkosten</w:t>
            </w:r>
          </w:p>
        </w:tc>
        <w:tc>
          <w:tcPr>
            <w:tcW w:type="dxa" w:w="4536"/>
          </w:tcPr>
          <w:p>
            <w:pPr>
              <w:jc w:val="center"/>
            </w:pPr>
            <w:r>
              <w:rPr>
                <w:rFonts w:ascii="BundesSans Office" w:hAnsi="BundesSans Office"/>
                <w:sz w:val="22"/>
              </w:rPr>
              <w:t>2,5% pro Jahr</w:t>
            </w:r>
          </w:p>
        </w:tc>
      </w:tr>
      <w:tr>
        <w:tc>
          <w:tcPr>
            <w:tcW w:type="dxa" w:w="4536"/>
          </w:tcPr>
          <w:p>
            <w:pPr>
              <w:jc w:val="left"/>
            </w:pPr>
            <w:r>
              <w:rPr>
                <w:rFonts w:ascii="BundesSans Office" w:hAnsi="BundesSans Office"/>
                <w:sz w:val="22"/>
              </w:rPr>
              <w:t>Preissteigerung Material/DL</w:t>
            </w:r>
          </w:p>
        </w:tc>
        <w:tc>
          <w:tcPr>
            <w:tcW w:type="dxa" w:w="4536"/>
          </w:tcPr>
          <w:p>
            <w:pPr>
              <w:jc w:val="center"/>
            </w:pPr>
            <w:r>
              <w:rPr>
                <w:rFonts w:ascii="BundesSans Office" w:hAnsi="BundesSans Office"/>
                <w:sz w:val="22"/>
              </w:rPr>
              <w:t>2,0% pro Jahr</w:t>
            </w:r>
          </w:p>
        </w:tc>
      </w:tr>
    </w:tbl>
    <w:p>
      <w:pPr>
        <w:jc w:val="left"/>
      </w:pPr>
      <w:r>
        <w:rPr>
          <w:rFonts w:ascii="BundesSans Office" w:hAnsi="BundesSans Office"/>
          <w:i/>
          <w:sz w:val="18"/>
        </w:rPr>
        <w:t>Tabelle 3: Gemeinsame Annahmen für alle Optionen</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145.000 Euro netto (Marktmittel für 150 PS Stage V Traktor, April 2026). Restwert nach zehn Jahren: 21.750 Euro (15 Prozent des Kaufpreises). Option 2 (Leasing): Leasingrate 1.000 Euro pro Monat, entsprechend 12.000 Euro pro Jahr. Leasinglaufzeit: 48 Monate pro Zyklus. Option 4 (Externe Dienstleistung): Lohnunternehmer-Kosten ca. 60 EUR/Stunde = 30.000 EUR/Jahr (500 Stunden). Personal kann auf 1 VZÄ reduziert werden.</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Anschaffungs-/Ratenkosten</w:t>
            </w:r>
          </w:p>
        </w:tc>
        <w:tc>
          <w:tcPr>
            <w:tcW w:type="dxa" w:w="2268"/>
            <w:shd w:fill="D3D3D3"/>
          </w:tcPr>
          <w:p>
            <w:pPr>
              <w:jc w:val="center"/>
            </w:pPr>
            <w:r>
              <w:rPr>
                <w:rFonts w:ascii="BundesSans Office" w:hAnsi="BundesSans Office"/>
                <w:b/>
                <w:sz w:val="22"/>
              </w:rPr>
              <w:t>Restwert</w:t>
            </w:r>
          </w:p>
        </w:tc>
        <w:tc>
          <w:tcPr>
            <w:tcW w:type="dxa" w:w="2268"/>
            <w:shd w:fill="D3D3D3"/>
          </w:tcPr>
          <w:p>
            <w:pPr>
              <w:jc w:val="center"/>
            </w:pPr>
            <w:r>
              <w:rPr>
                <w:rFonts w:ascii="BundesSans Office" w:hAnsi="BundesSans Office"/>
                <w:b/>
                <w:sz w:val="22"/>
              </w:rPr>
              <w:t>Besonderheiten</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145.000 EUR (netto)</w:t>
            </w:r>
          </w:p>
        </w:tc>
        <w:tc>
          <w:tcPr>
            <w:tcW w:type="dxa" w:w="2268"/>
          </w:tcPr>
          <w:p>
            <w:pPr>
              <w:jc w:val="center"/>
            </w:pPr>
            <w:r>
              <w:rPr>
                <w:rFonts w:ascii="BundesSans Office" w:hAnsi="BundesSans Office"/>
                <w:sz w:val="22"/>
              </w:rPr>
              <w:t>21.750 EUR (15%)</w:t>
            </w:r>
          </w:p>
        </w:tc>
        <w:tc>
          <w:tcPr>
            <w:tcW w:type="dxa" w:w="2268"/>
          </w:tcPr>
          <w:p>
            <w:pPr>
              <w:jc w:val="center"/>
            </w:pPr>
            <w:r>
              <w:rPr>
                <w:rFonts w:ascii="BundesSans Office" w:hAnsi="BundesSans Office"/>
                <w:sz w:val="22"/>
              </w:rPr>
              <w:t>Neugerät, 5 Jahre Garantie</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1.000 EUR/Monat (12.000 EUR/Jahr)</w:t>
            </w:r>
          </w:p>
        </w:tc>
        <w:tc>
          <w:tcPr>
            <w:tcW w:type="dxa" w:w="2268"/>
          </w:tcPr>
          <w:p>
            <w:pPr>
              <w:jc w:val="left"/>
            </w:pPr>
            <w:r>
              <w:rPr>
                <w:rFonts w:ascii="BundesSans Office" w:hAnsi="BundesSans Office"/>
                <w:sz w:val="22"/>
              </w:rPr>
              <w:t>entfällt</w:t>
            </w:r>
          </w:p>
        </w:tc>
        <w:tc>
          <w:tcPr>
            <w:tcW w:type="dxa" w:w="2268"/>
          </w:tcPr>
          <w:p>
            <w:pPr>
              <w:jc w:val="center"/>
            </w:pPr>
            <w:r>
              <w:rPr>
                <w:rFonts w:ascii="BundesSans Office" w:hAnsi="BundesSans Office"/>
                <w:sz w:val="22"/>
              </w:rPr>
              <w:t>48 Monate Laufzeit</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ca. 30.000 EUR/Jahr</w:t>
            </w:r>
          </w:p>
        </w:tc>
        <w:tc>
          <w:tcPr>
            <w:tcW w:type="dxa" w:w="2268"/>
          </w:tcPr>
          <w:p>
            <w:pPr>
              <w:jc w:val="left"/>
            </w:pPr>
            <w:r>
              <w:rPr>
                <w:rFonts w:ascii="BundesSans Office" w:hAnsi="BundesSans Office"/>
                <w:sz w:val="22"/>
              </w:rPr>
              <w:t>entfällt</w:t>
            </w:r>
          </w:p>
        </w:tc>
        <w:tc>
          <w:tcPr>
            <w:tcW w:type="dxa" w:w="2268"/>
          </w:tcPr>
          <w:p>
            <w:pPr>
              <w:jc w:val="left"/>
            </w:pPr>
            <w:r>
              <w:rPr>
                <w:rFonts w:ascii="BundesSans Office" w:hAnsi="BundesSans Office"/>
                <w:sz w:val="22"/>
              </w:rPr>
              <w:t>Inkl. Wartung, Personal reduzierbar</w:t>
            </w:r>
          </w:p>
        </w:tc>
      </w:tr>
    </w:tbl>
    <w:p>
      <w:pPr>
        <w:jc w:val="left"/>
      </w:pPr>
      <w:r>
        <w:rPr>
          <w:rFonts w:ascii="BundesSans Office" w:hAnsi="BundesSans Office"/>
          <w:i/>
          <w:sz w:val="18"/>
        </w:rPr>
        <w:t>Tabelle 4: Annahmen für bestimmte Optionen</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Allradschleppers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85.200 EUR. Option 2 (Leasing): Kapitalwert 112.500 EUR. Option 4 (Externe DL): Kapitalwert 156.000 EUR. Ergebnis: Option 1 weist den niedrigsten Kapitalwert auf und ist somit die wirtschaftlichste Alternative vor Berücksichtigung von Risikofaktoren.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ohne Risiko (EUR)</w:t>
            </w:r>
          </w:p>
        </w:tc>
      </w:tr>
      <w:tr>
        <w:tc>
          <w:tcPr>
            <w:tcW w:type="dxa" w:w="4536"/>
          </w:tcPr>
          <w:p>
            <w:pPr>
              <w:jc w:val="center"/>
            </w:pPr>
            <w:r>
              <w:rPr>
                <w:rFonts w:ascii="BundesSans Office" w:hAnsi="BundesSans Office"/>
                <w:sz w:val="22"/>
              </w:rPr>
              <w:t>Option 1: Neukauf</w:t>
            </w:r>
          </w:p>
        </w:tc>
        <w:tc>
          <w:tcPr>
            <w:tcW w:type="dxa" w:w="4536"/>
          </w:tcPr>
          <w:p>
            <w:pPr>
              <w:jc w:val="center"/>
            </w:pPr>
            <w:r>
              <w:rPr>
                <w:rFonts w:ascii="BundesSans Office" w:hAnsi="BundesSans Office"/>
                <w:sz w:val="22"/>
              </w:rPr>
              <w:t>85.200</w:t>
            </w:r>
          </w:p>
        </w:tc>
      </w:tr>
      <w:tr>
        <w:tc>
          <w:tcPr>
            <w:tcW w:type="dxa" w:w="4536"/>
          </w:tcPr>
          <w:p>
            <w:pPr>
              <w:jc w:val="center"/>
            </w:pPr>
            <w:r>
              <w:rPr>
                <w:rFonts w:ascii="BundesSans Office" w:hAnsi="BundesSans Office"/>
                <w:sz w:val="22"/>
              </w:rPr>
              <w:t>Option 2: Leasing</w:t>
            </w:r>
          </w:p>
        </w:tc>
        <w:tc>
          <w:tcPr>
            <w:tcW w:type="dxa" w:w="4536"/>
          </w:tcPr>
          <w:p>
            <w:pPr>
              <w:jc w:val="center"/>
            </w:pPr>
            <w:r>
              <w:rPr>
                <w:rFonts w:ascii="BundesSans Office" w:hAnsi="BundesSans Office"/>
                <w:sz w:val="22"/>
              </w:rPr>
              <w:t>112.500</w:t>
            </w:r>
          </w:p>
        </w:tc>
      </w:tr>
      <w:tr>
        <w:tc>
          <w:tcPr>
            <w:tcW w:type="dxa" w:w="4536"/>
          </w:tcPr>
          <w:p>
            <w:pPr>
              <w:jc w:val="center"/>
            </w:pPr>
            <w:r>
              <w:rPr>
                <w:rFonts w:ascii="BundesSans Office" w:hAnsi="BundesSans Office"/>
                <w:sz w:val="22"/>
              </w:rPr>
              <w:t>Option 4: Externe DL</w:t>
            </w:r>
          </w:p>
        </w:tc>
        <w:tc>
          <w:tcPr>
            <w:tcW w:type="dxa" w:w="4536"/>
          </w:tcPr>
          <w:p>
            <w:pPr>
              <w:jc w:val="center"/>
            </w:pPr>
            <w:r>
              <w:rPr>
                <w:rFonts w:ascii="BundesSans Office" w:hAnsi="BundesSans Office"/>
                <w:sz w:val="22"/>
              </w:rPr>
              <w:t>156.000</w:t>
            </w:r>
          </w:p>
        </w:tc>
      </w:tr>
    </w:tbl>
    <w:p>
      <w:pPr>
        <w:jc w:val="left"/>
      </w:pPr>
      <w:r>
        <w:rPr>
          <w:rFonts w:ascii="BundesSans Office" w:hAnsi="BundesSans Office"/>
          <w:i/>
          <w:sz w:val="18"/>
        </w:rPr>
        <w:t>Tabelle 5: Kapitalwertvergleich ohne Risikobetrachtung</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(ungeplante Wartung/Reparaturen) mit geschätzter Wahrscheinlichkeit 8 Prozent und Schadenshöhe 4.000 EUR; Preisrisiko Lohnunternehmer mit 30 Prozent Wahrscheinlichkeit und 6.000 EUR Schadenshöhe; Marktpreisrisiko (Restwert) mit 60 Prozent Wahrscheinlichkeit und 2.000 EUR Schadenshöhe.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Risikoart</w:t>
            </w:r>
          </w:p>
        </w:tc>
        <w:tc>
          <w:tcPr>
            <w:tcW w:type="dxa" w:w="2268"/>
            <w:shd w:fill="D3D3D3"/>
          </w:tcPr>
          <w:p>
            <w:pPr>
              <w:jc w:val="center"/>
            </w:pPr>
            <w:r>
              <w:rPr>
                <w:rFonts w:ascii="BundesSans Office" w:hAnsi="BundesSans Office"/>
                <w:b/>
                <w:sz w:val="22"/>
              </w:rPr>
              <w:t>Eintrittswahrscheinlichkeit</w:t>
            </w:r>
          </w:p>
        </w:tc>
        <w:tc>
          <w:tcPr>
            <w:tcW w:type="dxa" w:w="2268"/>
            <w:shd w:fill="D3D3D3"/>
          </w:tcPr>
          <w:p>
            <w:pPr>
              <w:jc w:val="center"/>
            </w:pPr>
            <w:r>
              <w:rPr>
                <w:rFonts w:ascii="BundesSans Office" w:hAnsi="BundesSans Office"/>
                <w:b/>
                <w:sz w:val="22"/>
              </w:rPr>
              <w:t>Schadenshöhe (EUR)</w:t>
            </w:r>
          </w:p>
        </w:tc>
        <w:tc>
          <w:tcPr>
            <w:tcW w:type="dxa" w:w="2268"/>
            <w:shd w:fill="D3D3D3"/>
          </w:tcPr>
          <w:p>
            <w:pPr>
              <w:jc w:val="center"/>
            </w:pPr>
            <w:r>
              <w:rPr>
                <w:rFonts w:ascii="BundesSans Office" w:hAnsi="BundesSans Office"/>
                <w:b/>
                <w:sz w:val="22"/>
              </w:rPr>
              <w:t>Risikowert (EUR)</w:t>
            </w:r>
          </w:p>
        </w:tc>
      </w:tr>
      <w:tr>
        <w:tc>
          <w:tcPr>
            <w:tcW w:type="dxa" w:w="2268"/>
          </w:tcPr>
          <w:p>
            <w:pPr>
              <w:jc w:val="left"/>
            </w:pPr>
            <w:r>
              <w:rPr>
                <w:rFonts w:ascii="BundesSans Office" w:hAnsi="BundesSans Office"/>
                <w:sz w:val="22"/>
              </w:rPr>
              <w:t>Ausfallrisiko (Wartung)</w:t>
            </w:r>
          </w:p>
        </w:tc>
        <w:tc>
          <w:tcPr>
            <w:tcW w:type="dxa" w:w="2268"/>
          </w:tcPr>
          <w:p>
            <w:pPr>
              <w:jc w:val="center"/>
            </w:pPr>
            <w:r>
              <w:rPr>
                <w:rFonts w:ascii="BundesSans Office" w:hAnsi="BundesSans Office"/>
                <w:sz w:val="22"/>
              </w:rPr>
              <w:t>8%</w:t>
            </w:r>
          </w:p>
        </w:tc>
        <w:tc>
          <w:tcPr>
            <w:tcW w:type="dxa" w:w="2268"/>
          </w:tcPr>
          <w:p>
            <w:pPr>
              <w:jc w:val="center"/>
            </w:pPr>
            <w:r>
              <w:rPr>
                <w:rFonts w:ascii="BundesSans Office" w:hAnsi="BundesSans Office"/>
                <w:sz w:val="22"/>
              </w:rPr>
              <w:t>4.000</w:t>
            </w:r>
          </w:p>
        </w:tc>
        <w:tc>
          <w:tcPr>
            <w:tcW w:type="dxa" w:w="2268"/>
          </w:tcPr>
          <w:p>
            <w:pPr>
              <w:jc w:val="center"/>
            </w:pPr>
            <w:r>
              <w:rPr>
                <w:rFonts w:ascii="BundesSans Office" w:hAnsi="BundesSans Office"/>
                <w:sz w:val="22"/>
              </w:rPr>
              <w:t>320</w:t>
            </w:r>
          </w:p>
        </w:tc>
      </w:tr>
      <w:tr>
        <w:tc>
          <w:tcPr>
            <w:tcW w:type="dxa" w:w="2268"/>
          </w:tcPr>
          <w:p>
            <w:pPr>
              <w:jc w:val="left"/>
            </w:pPr>
            <w:r>
              <w:rPr>
                <w:rFonts w:ascii="BundesSans Office" w:hAnsi="BundesSans Office"/>
                <w:sz w:val="22"/>
              </w:rPr>
              <w:t>Preisrisiko Lohnunternehmer</w:t>
            </w:r>
          </w:p>
        </w:tc>
        <w:tc>
          <w:tcPr>
            <w:tcW w:type="dxa" w:w="2268"/>
          </w:tcPr>
          <w:p>
            <w:pPr>
              <w:jc w:val="center"/>
            </w:pPr>
            <w:r>
              <w:rPr>
                <w:rFonts w:ascii="BundesSans Office" w:hAnsi="BundesSans Office"/>
                <w:sz w:val="22"/>
              </w:rPr>
              <w:t>30%</w:t>
            </w:r>
          </w:p>
        </w:tc>
        <w:tc>
          <w:tcPr>
            <w:tcW w:type="dxa" w:w="2268"/>
          </w:tcPr>
          <w:p>
            <w:pPr>
              <w:jc w:val="center"/>
            </w:pPr>
            <w:r>
              <w:rPr>
                <w:rFonts w:ascii="BundesSans Office" w:hAnsi="BundesSans Office"/>
                <w:sz w:val="22"/>
              </w:rPr>
              <w:t>6.000</w:t>
            </w:r>
          </w:p>
        </w:tc>
        <w:tc>
          <w:tcPr>
            <w:tcW w:type="dxa" w:w="2268"/>
          </w:tcPr>
          <w:p>
            <w:pPr>
              <w:jc w:val="center"/>
            </w:pPr>
            <w:r>
              <w:rPr>
                <w:rFonts w:ascii="BundesSans Office" w:hAnsi="BundesSans Office"/>
                <w:sz w:val="22"/>
              </w:rPr>
              <w:t>1.800</w:t>
            </w:r>
          </w:p>
        </w:tc>
      </w:tr>
      <w:tr>
        <w:tc>
          <w:tcPr>
            <w:tcW w:type="dxa" w:w="2268"/>
          </w:tcPr>
          <w:p>
            <w:pPr>
              <w:jc w:val="left"/>
            </w:pPr>
            <w:r>
              <w:rPr>
                <w:rFonts w:ascii="BundesSans Office" w:hAnsi="BundesSans Office"/>
                <w:sz w:val="22"/>
              </w:rPr>
              <w:t>Marktpreisrisiko (Restwert)</w:t>
            </w:r>
          </w:p>
        </w:tc>
        <w:tc>
          <w:tcPr>
            <w:tcW w:type="dxa" w:w="2268"/>
          </w:tcPr>
          <w:p>
            <w:pPr>
              <w:jc w:val="center"/>
            </w:pPr>
            <w:r>
              <w:rPr>
                <w:rFonts w:ascii="BundesSans Office" w:hAnsi="BundesSans Office"/>
                <w:sz w:val="22"/>
              </w:rPr>
              <w:t>60%</w:t>
            </w:r>
          </w:p>
        </w:tc>
        <w:tc>
          <w:tcPr>
            <w:tcW w:type="dxa" w:w="2268"/>
          </w:tcPr>
          <w:p>
            <w:pPr>
              <w:jc w:val="center"/>
            </w:pPr>
            <w:r>
              <w:rPr>
                <w:rFonts w:ascii="BundesSans Office" w:hAnsi="BundesSans Office"/>
                <w:sz w:val="22"/>
              </w:rPr>
              <w:t>2.000</w:t>
            </w:r>
          </w:p>
        </w:tc>
        <w:tc>
          <w:tcPr>
            <w:tcW w:type="dxa" w:w="2268"/>
          </w:tcPr>
          <w:p>
            <w:pPr>
              <w:jc w:val="center"/>
            </w:pPr>
            <w:r>
              <w:rPr>
                <w:rFonts w:ascii="BundesSans Office" w:hAnsi="BundesSans Office"/>
                <w:sz w:val="22"/>
              </w:rPr>
              <w:t>1.200</w:t>
            </w:r>
          </w:p>
        </w:tc>
      </w:tr>
    </w:tbl>
    <w:p>
      <w:pPr>
        <w:jc w:val="left"/>
      </w:pPr>
      <w:r>
        <w:rPr>
          <w:rFonts w:ascii="BundesSans Office" w:hAnsi="BundesSans Office"/>
          <w:i/>
          <w:sz w:val="18"/>
        </w:rPr>
        <w:t>Tabelle 6: Risikoidentifizierung – Übersicht identifizierter Risiken</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und Restwertrisiken liegen bei der BwDLZ, werden aber durch die Neugerätegarantie (5 Jahre) teilweise abgemildert. Option 2: Ausfallrisiken liegen beim Leasinggeber. Preisrisiken liegen bei der BwDLZ. Option 4: Preisrisiken für Lohnunternehmer-Kosten liegen bei der BwDLZ, da externe Preise nicht kontrollierbar sind.</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89.850 EUR (85.200 + 4.650 Risikowert über 10 Jahre). Option 2: 118.200 EUR (112.500 + 5.700). Option 4: 163.200 EUR (156.000 + 7.200). Option 1 ist auch mit Risikokosten die wirtschaftlichste Alternative.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Kapitalwert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Kapitalwert mit Risiko (EUR)</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85.200</w:t>
            </w:r>
          </w:p>
        </w:tc>
        <w:tc>
          <w:tcPr>
            <w:tcW w:type="dxa" w:w="2268"/>
          </w:tcPr>
          <w:p>
            <w:pPr>
              <w:jc w:val="center"/>
            </w:pPr>
            <w:r>
              <w:rPr>
                <w:rFonts w:ascii="BundesSans Office" w:hAnsi="BundesSans Office"/>
                <w:sz w:val="22"/>
              </w:rPr>
              <w:t>4.650</w:t>
            </w:r>
          </w:p>
        </w:tc>
        <w:tc>
          <w:tcPr>
            <w:tcW w:type="dxa" w:w="2268"/>
          </w:tcPr>
          <w:p>
            <w:pPr>
              <w:jc w:val="center"/>
            </w:pPr>
            <w:r>
              <w:rPr>
                <w:rFonts w:ascii="BundesSans Office" w:hAnsi="BundesSans Office"/>
                <w:sz w:val="22"/>
              </w:rPr>
              <w:t>89.850</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112.500</w:t>
            </w:r>
          </w:p>
        </w:tc>
        <w:tc>
          <w:tcPr>
            <w:tcW w:type="dxa" w:w="2268"/>
          </w:tcPr>
          <w:p>
            <w:pPr>
              <w:jc w:val="center"/>
            </w:pPr>
            <w:r>
              <w:rPr>
                <w:rFonts w:ascii="BundesSans Office" w:hAnsi="BundesSans Office"/>
                <w:sz w:val="22"/>
              </w:rPr>
              <w:t>5.700</w:t>
            </w:r>
          </w:p>
        </w:tc>
        <w:tc>
          <w:tcPr>
            <w:tcW w:type="dxa" w:w="2268"/>
          </w:tcPr>
          <w:p>
            <w:pPr>
              <w:jc w:val="center"/>
            </w:pPr>
            <w:r>
              <w:rPr>
                <w:rFonts w:ascii="BundesSans Office" w:hAnsi="BundesSans Office"/>
                <w:sz w:val="22"/>
              </w:rPr>
              <w:t>118.200</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156.000</w:t>
            </w:r>
          </w:p>
        </w:tc>
        <w:tc>
          <w:tcPr>
            <w:tcW w:type="dxa" w:w="2268"/>
          </w:tcPr>
          <w:p>
            <w:pPr>
              <w:jc w:val="center"/>
            </w:pPr>
            <w:r>
              <w:rPr>
                <w:rFonts w:ascii="BundesSans Office" w:hAnsi="BundesSans Office"/>
                <w:sz w:val="22"/>
              </w:rPr>
              <w:t>7.200</w:t>
            </w:r>
          </w:p>
        </w:tc>
        <w:tc>
          <w:tcPr>
            <w:tcW w:type="dxa" w:w="2268"/>
          </w:tcPr>
          <w:p>
            <w:pPr>
              <w:jc w:val="center"/>
            </w:pPr>
            <w:r>
              <w:rPr>
                <w:rFonts w:ascii="BundesSans Office" w:hAnsi="BundesSans Office"/>
                <w:sz w:val="22"/>
              </w:rPr>
              <w:t>163.200</w:t>
            </w:r>
          </w:p>
        </w:tc>
      </w:tr>
    </w:tbl>
    <w:p>
      <w:pPr>
        <w:jc w:val="left"/>
      </w:pPr>
      <w:r>
        <w:rPr>
          <w:rFonts w:ascii="BundesSans Office" w:hAnsi="BundesSans Office"/>
          <w:i/>
          <w:sz w:val="18"/>
        </w:rPr>
        <w:t>Tabelle 7: Kapitalwertvergleich mit Risikobetrachtung</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89.850 EUR den niedrigsten Kapitalwert und damit die höchste Wirtschaftlichkeit. Diese wirtschaftliche Vorteilhaftigkeit wird durch nicht-monetäre Faktoren gestützt: optimale Kontrolle über Wartung und Betrieb, hohe Zuverlässigkeit für Winterdienste und Grünflächenpflege sowie strategische Unabhängigkeit.</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Kriterium</w:t>
            </w:r>
          </w:p>
        </w:tc>
        <w:tc>
          <w:tcPr>
            <w:tcW w:type="dxa" w:w="2268"/>
            <w:shd w:fill="D3D3D3"/>
          </w:tcPr>
          <w:p>
            <w:pPr>
              <w:jc w:val="center"/>
            </w:pPr>
            <w:r>
              <w:rPr>
                <w:rFonts w:ascii="BundesSans Office" w:hAnsi="BundesSans Office"/>
                <w:b/>
                <w:sz w:val="22"/>
              </w:rPr>
              <w:t>Option 1: Neukauf</w:t>
            </w:r>
          </w:p>
        </w:tc>
        <w:tc>
          <w:tcPr>
            <w:tcW w:type="dxa" w:w="2268"/>
            <w:shd w:fill="D3D3D3"/>
          </w:tcPr>
          <w:p>
            <w:pPr>
              <w:jc w:val="center"/>
            </w:pPr>
            <w:r>
              <w:rPr>
                <w:rFonts w:ascii="BundesSans Office" w:hAnsi="BundesSans Office"/>
                <w:b/>
                <w:sz w:val="22"/>
              </w:rPr>
              <w:t>Option 2: Leasing</w:t>
            </w:r>
          </w:p>
        </w:tc>
        <w:tc>
          <w:tcPr>
            <w:tcW w:type="dxa" w:w="2268"/>
            <w:shd w:fill="D3D3D3"/>
          </w:tcPr>
          <w:p>
            <w:pPr>
              <w:jc w:val="center"/>
            </w:pPr>
            <w:r>
              <w:rPr>
                <w:rFonts w:ascii="BundesSans Office" w:hAnsi="BundesSans Office"/>
                <w:b/>
                <w:sz w:val="22"/>
              </w:rPr>
              <w:t>Option 4: Externe DL</w:t>
            </w:r>
          </w:p>
        </w:tc>
      </w:tr>
      <w:tr>
        <w:tc>
          <w:tcPr>
            <w:tcW w:type="dxa" w:w="2268"/>
          </w:tcPr>
          <w:p>
            <w:pPr>
              <w:jc w:val="left"/>
            </w:pPr>
            <w:r>
              <w:rPr>
                <w:rFonts w:ascii="BundesSans Office" w:hAnsi="BundesSans Office"/>
                <w:sz w:val="22"/>
              </w:rPr>
              <w:t>Kapitalwert mit Risiko (EUR)</w:t>
            </w:r>
          </w:p>
        </w:tc>
        <w:tc>
          <w:tcPr>
            <w:tcW w:type="dxa" w:w="2268"/>
          </w:tcPr>
          <w:p>
            <w:pPr>
              <w:jc w:val="center"/>
            </w:pPr>
            <w:r>
              <w:rPr>
                <w:rFonts w:ascii="BundesSans Office" w:hAnsi="BundesSans Office"/>
                <w:sz w:val="22"/>
              </w:rPr>
              <w:t>89.850</w:t>
            </w:r>
          </w:p>
        </w:tc>
        <w:tc>
          <w:tcPr>
            <w:tcW w:type="dxa" w:w="2268"/>
          </w:tcPr>
          <w:p>
            <w:pPr>
              <w:jc w:val="center"/>
            </w:pPr>
            <w:r>
              <w:rPr>
                <w:rFonts w:ascii="BundesSans Office" w:hAnsi="BundesSans Office"/>
                <w:sz w:val="22"/>
              </w:rPr>
              <w:t>118.200</w:t>
            </w:r>
          </w:p>
        </w:tc>
        <w:tc>
          <w:tcPr>
            <w:tcW w:type="dxa" w:w="2268"/>
          </w:tcPr>
          <w:p>
            <w:pPr>
              <w:jc w:val="center"/>
            </w:pPr>
            <w:r>
              <w:rPr>
                <w:rFonts w:ascii="BundesSans Office" w:hAnsi="BundesSans Office"/>
                <w:sz w:val="22"/>
              </w:rPr>
              <w:t>163.200</w:t>
            </w:r>
          </w:p>
        </w:tc>
      </w:tr>
      <w:tr>
        <w:tc>
          <w:tcPr>
            <w:tcW w:type="dxa" w:w="2268"/>
          </w:tcPr>
          <w:p>
            <w:pPr>
              <w:jc w:val="left"/>
            </w:pPr>
            <w:r>
              <w:rPr>
                <w:rFonts w:ascii="BundesSans Office" w:hAnsi="BundesSans Office"/>
                <w:sz w:val="22"/>
              </w:rPr>
              <w:t>Wirtschaftlichkeit</w:t>
            </w:r>
          </w:p>
        </w:tc>
        <w:tc>
          <w:tcPr>
            <w:tcW w:type="dxa" w:w="2268"/>
          </w:tcPr>
          <w:p>
            <w:pPr>
              <w:jc w:val="left"/>
            </w:pPr>
            <w:r>
              <w:rPr>
                <w:rFonts w:ascii="BundesSans Office" w:hAnsi="BundesSans Office"/>
                <w:sz w:val="22"/>
              </w:rPr>
              <w:t>Beste</w:t>
            </w:r>
          </w:p>
        </w:tc>
        <w:tc>
          <w:tcPr>
            <w:tcW w:type="dxa" w:w="2268"/>
          </w:tcPr>
          <w:p>
            <w:pPr>
              <w:jc w:val="left"/>
            </w:pPr>
            <w:r>
              <w:rPr>
                <w:rFonts w:ascii="BundesSans Office" w:hAnsi="BundesSans Office"/>
                <w:sz w:val="22"/>
              </w:rPr>
              <w:t>Schlecht</w:t>
            </w:r>
          </w:p>
        </w:tc>
        <w:tc>
          <w:tcPr>
            <w:tcW w:type="dxa" w:w="2268"/>
          </w:tcPr>
          <w:p>
            <w:pPr>
              <w:jc w:val="left"/>
            </w:pPr>
            <w:r>
              <w:rPr>
                <w:rFonts w:ascii="BundesSans Office" w:hAnsi="BundesSans Office"/>
                <w:sz w:val="22"/>
              </w:rPr>
              <w:t>Nicht wirtschaftlich</w:t>
            </w:r>
          </w:p>
        </w:tc>
      </w:tr>
      <w:tr>
        <w:tc>
          <w:tcPr>
            <w:tcW w:type="dxa" w:w="2268"/>
          </w:tcPr>
          <w:p>
            <w:pPr>
              <w:jc w:val="left"/>
            </w:pPr>
            <w:r>
              <w:rPr>
                <w:rFonts w:ascii="BundesSans Office" w:hAnsi="BundesSans Office"/>
                <w:sz w:val="22"/>
              </w:rPr>
              <w:t>Robustheit (Sensitivität)</w:t>
            </w:r>
          </w:p>
        </w:tc>
        <w:tc>
          <w:tcPr>
            <w:tcW w:type="dxa" w:w="2268"/>
          </w:tcPr>
          <w:p>
            <w:pPr>
              <w:jc w:val="left"/>
            </w:pPr>
            <w:r>
              <w:rPr>
                <w:rFonts w:ascii="BundesSans Office" w:hAnsi="BundesSans Office"/>
                <w:sz w:val="22"/>
              </w:rPr>
              <w:t>Robust gegen Preisänderungen</w:t>
            </w:r>
          </w:p>
        </w:tc>
        <w:tc>
          <w:tcPr>
            <w:tcW w:type="dxa" w:w="2268"/>
          </w:tcPr>
          <w:p>
            <w:pPr>
              <w:jc w:val="left"/>
            </w:pPr>
            <w:r>
              <w:rPr>
                <w:rFonts w:ascii="BundesSans Office" w:hAnsi="BundesSans Office"/>
                <w:sz w:val="22"/>
              </w:rPr>
              <w:t>Schwach gegen Leasingpreise</w:t>
            </w:r>
          </w:p>
        </w:tc>
        <w:tc>
          <w:tcPr>
            <w:tcW w:type="dxa" w:w="2268"/>
          </w:tcPr>
          <w:p>
            <w:pPr>
              <w:jc w:val="left"/>
            </w:pPr>
            <w:r>
              <w:rPr>
                <w:rFonts w:ascii="BundesSans Office" w:hAnsi="BundesSans Office"/>
                <w:sz w:val="22"/>
              </w:rPr>
              <w:t>Sehr schwach gegen Preisrisiken</w:t>
            </w:r>
          </w:p>
        </w:tc>
      </w:tr>
      <w:tr>
        <w:tc>
          <w:tcPr>
            <w:tcW w:type="dxa" w:w="2268"/>
          </w:tcPr>
          <w:p>
            <w:pPr>
              <w:jc w:val="left"/>
            </w:pPr>
            <w:r>
              <w:rPr>
                <w:rFonts w:ascii="BundesSans Office" w:hAnsi="BundesSans Office"/>
                <w:sz w:val="22"/>
              </w:rPr>
              <w:t>Gesamtbewertung</w:t>
            </w:r>
          </w:p>
        </w:tc>
        <w:tc>
          <w:tcPr>
            <w:tcW w:type="dxa" w:w="2268"/>
          </w:tcPr>
          <w:p>
            <w:pPr>
              <w:jc w:val="left"/>
            </w:pPr>
            <w:r>
              <w:rPr>
                <w:rFonts w:ascii="BundesSans Office" w:hAnsi="BundesSans Office"/>
                <w:sz w:val="22"/>
              </w:rPr>
              <w:t>Empfohlen</w:t>
            </w:r>
          </w:p>
        </w:tc>
        <w:tc>
          <w:tcPr>
            <w:tcW w:type="dxa" w:w="2268"/>
          </w:tcPr>
          <w:p>
            <w:pPr>
              <w:jc w:val="left"/>
            </w:pPr>
            <w:r>
              <w:rPr>
                <w:rFonts w:ascii="BundesSans Office" w:hAnsi="BundesSans Office"/>
                <w:sz w:val="22"/>
              </w:rPr>
              <w:t>Alternative</w:t>
            </w:r>
          </w:p>
        </w:tc>
        <w:tc>
          <w:tcPr>
            <w:tcW w:type="dxa" w:w="2268"/>
          </w:tcPr>
          <w:p>
            <w:pPr>
              <w:jc w:val="left"/>
            </w:pPr>
            <w:r>
              <w:rPr>
                <w:rFonts w:ascii="BundesSans Office" w:hAnsi="BundesSans Office"/>
                <w:sz w:val="22"/>
              </w:rPr>
              <w:t>Nicht empfohlen</w:t>
            </w:r>
          </w:p>
        </w:tc>
      </w:tr>
    </w:tbl>
    <w:p>
      <w:pPr>
        <w:jc w:val="left"/>
      </w:pPr>
      <w:r>
        <w:rPr>
          <w:rFonts w:ascii="BundesSans Office" w:hAnsi="BundesSans Office"/>
          <w:i/>
          <w:sz w:val="18"/>
        </w:rPr>
        <w:t>Tabelle 8: Vergleich der Optionen – Wirtschaftlichkeit und Robustheit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(Wartungskosten +50%): Option 1 Kapitalwert etwa 92.500 EUR. Option 1 bleibt führend. Szenario B (Leasingrate –20%): Option 2 Kapitalwert etwa 106.800 EUR. Option 1 bleibt führend. Szenario C (LU-Kosten –20%): Option 4 Kapitalwert etwa 150.000 EUR. Option 1 bleibt führend. Fazit: Option 1 ist robust gegen Preisveränderungen.</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Szenario</w:t>
            </w:r>
          </w:p>
        </w:tc>
        <w:tc>
          <w:tcPr>
            <w:tcW w:type="dxa" w:w="1814"/>
            <w:shd w:fill="D3D3D3"/>
          </w:tcPr>
          <w:p>
            <w:pPr>
              <w:jc w:val="center"/>
            </w:pPr>
            <w:r>
              <w:rPr>
                <w:rFonts w:ascii="BundesSans Office" w:hAnsi="BundesSans Office"/>
                <w:b/>
                <w:sz w:val="22"/>
              </w:rPr>
              <w:t>Parameter-Änderung</w:t>
            </w:r>
          </w:p>
        </w:tc>
        <w:tc>
          <w:tcPr>
            <w:tcW w:type="dxa" w:w="1814"/>
            <w:shd w:fill="D3D3D3"/>
          </w:tcPr>
          <w:p>
            <w:pPr>
              <w:jc w:val="center"/>
            </w:pPr>
            <w:r>
              <w:rPr>
                <w:rFonts w:ascii="BundesSans Office" w:hAnsi="BundesSans Office"/>
                <w:b/>
                <w:sz w:val="22"/>
              </w:rPr>
              <w:t>Option 1 KW (EUR)</w:t>
            </w:r>
          </w:p>
        </w:tc>
        <w:tc>
          <w:tcPr>
            <w:tcW w:type="dxa" w:w="1814"/>
            <w:shd w:fill="D3D3D3"/>
          </w:tcPr>
          <w:p>
            <w:pPr>
              <w:jc w:val="center"/>
            </w:pPr>
            <w:r>
              <w:rPr>
                <w:rFonts w:ascii="BundesSans Office" w:hAnsi="BundesSans Office"/>
                <w:b/>
                <w:sz w:val="22"/>
              </w:rPr>
              <w:t>Option 2 KW (EUR)</w:t>
            </w:r>
          </w:p>
        </w:tc>
        <w:tc>
          <w:tcPr>
            <w:tcW w:type="dxa" w:w="1814"/>
            <w:shd w:fill="D3D3D3"/>
          </w:tcPr>
          <w:p>
            <w:pPr>
              <w:jc w:val="center"/>
            </w:pPr>
            <w:r>
              <w:rPr>
                <w:rFonts w:ascii="BundesSans Office" w:hAnsi="BundesSans Office"/>
                <w:b/>
                <w:sz w:val="22"/>
              </w:rPr>
              <w:t>Option 4 KW (EUR)</w:t>
            </w:r>
          </w:p>
        </w:tc>
      </w:tr>
      <w:tr>
        <w:tc>
          <w:tcPr>
            <w:tcW w:type="dxa" w:w="1814"/>
          </w:tcPr>
          <w:p>
            <w:pPr>
              <w:jc w:val="left"/>
            </w:pPr>
            <w:r>
              <w:rPr>
                <w:rFonts w:ascii="BundesSans Office" w:hAnsi="BundesSans Office"/>
                <w:sz w:val="22"/>
              </w:rPr>
              <w:t>Basis</w:t>
            </w:r>
          </w:p>
        </w:tc>
        <w:tc>
          <w:tcPr>
            <w:tcW w:type="dxa" w:w="1814"/>
          </w:tcPr>
          <w:p>
            <w:pPr>
              <w:jc w:val="left"/>
            </w:pPr>
            <w:r>
              <w:rPr>
                <w:rFonts w:ascii="BundesSans Office" w:hAnsi="BundesSans Office"/>
                <w:sz w:val="22"/>
              </w:rPr>
              <w:t>Keine Änderung</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A</w:t>
            </w:r>
          </w:p>
        </w:tc>
        <w:tc>
          <w:tcPr>
            <w:tcW w:type="dxa" w:w="1814"/>
          </w:tcPr>
          <w:p>
            <w:pPr>
              <w:jc w:val="center"/>
            </w:pPr>
            <w:r>
              <w:rPr>
                <w:rFonts w:ascii="BundesSans Office" w:hAnsi="BundesSans Office"/>
                <w:sz w:val="22"/>
              </w:rPr>
              <w:t>Wartungskosten +50%</w:t>
            </w:r>
          </w:p>
        </w:tc>
        <w:tc>
          <w:tcPr>
            <w:tcW w:type="dxa" w:w="1814"/>
          </w:tcPr>
          <w:p>
            <w:pPr>
              <w:jc w:val="center"/>
            </w:pPr>
            <w:r>
              <w:rPr>
                <w:rFonts w:ascii="BundesSans Office" w:hAnsi="BundesSans Office"/>
                <w:sz w:val="22"/>
              </w:rPr>
              <w:t>92.500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B</w:t>
            </w:r>
          </w:p>
        </w:tc>
        <w:tc>
          <w:tcPr>
            <w:tcW w:type="dxa" w:w="1814"/>
          </w:tcPr>
          <w:p>
            <w:pPr>
              <w:jc w:val="center"/>
            </w:pPr>
            <w:r>
              <w:rPr>
                <w:rFonts w:ascii="BundesSans Office" w:hAnsi="BundesSans Office"/>
                <w:sz w:val="22"/>
              </w:rPr>
              <w:t>Leasingrate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106.800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C</w:t>
            </w:r>
          </w:p>
        </w:tc>
        <w:tc>
          <w:tcPr>
            <w:tcW w:type="dxa" w:w="1814"/>
          </w:tcPr>
          <w:p>
            <w:pPr>
              <w:jc w:val="center"/>
            </w:pPr>
            <w:r>
              <w:rPr>
                <w:rFonts w:ascii="BundesSans Office" w:hAnsi="BundesSans Office"/>
                <w:sz w:val="22"/>
              </w:rPr>
              <w:t>LU-Kosten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150.000</w:t>
            </w:r>
          </w:p>
        </w:tc>
      </w:tr>
    </w:tbl>
    <w:p>
      <w:pPr>
        <w:jc w:val="left"/>
      </w:pPr>
      <w:r>
        <w:rPr>
          <w:rFonts w:ascii="BundesSans Office" w:hAnsi="BundesSans Office"/>
          <w:i/>
          <w:sz w:val="18"/>
        </w:rPr>
        <w:t>Tabelle 9: Sensitivitätsanalyse – Kapitalwertveränderungen bei verschiedenen Szenarien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Betriebscontrolle und Zuverlässigkeit (Option 1 beste Kontrolle über Wartung und Verfügbarkeit), Winterdienstleistung im Notfall (Option 1 garantiert ganzjährige Verfügbarkeit), Nachhaltigkeitsaspekte (Stage V Standard erfüllt Bundeswehr-Ziele) und strategische Unabhängigkeit (eigenes Gerät gibt volle Kontrolle). Die nicht-monetären Faktoren bestätigen die wirtschaftliche Empfehlung für Option 1.</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Kriterium</w:t>
            </w:r>
          </w:p>
        </w:tc>
        <w:tc>
          <w:tcPr>
            <w:tcW w:type="dxa" w:w="1814"/>
            <w:shd w:fill="D3D3D3"/>
          </w:tcPr>
          <w:p>
            <w:pPr>
              <w:jc w:val="center"/>
            </w:pPr>
            <w:r>
              <w:rPr>
                <w:rFonts w:ascii="BundesSans Office" w:hAnsi="BundesSans Office"/>
                <w:b/>
                <w:sz w:val="22"/>
              </w:rPr>
              <w:t>Option 1: Neukauf</w:t>
            </w:r>
          </w:p>
        </w:tc>
        <w:tc>
          <w:tcPr>
            <w:tcW w:type="dxa" w:w="1814"/>
            <w:shd w:fill="D3D3D3"/>
          </w:tcPr>
          <w:p>
            <w:pPr>
              <w:jc w:val="center"/>
            </w:pPr>
            <w:r>
              <w:rPr>
                <w:rFonts w:ascii="BundesSans Office" w:hAnsi="BundesSans Office"/>
                <w:b/>
                <w:sz w:val="22"/>
              </w:rPr>
              <w:t>Option 2: Leasing</w:t>
            </w:r>
          </w:p>
        </w:tc>
        <w:tc>
          <w:tcPr>
            <w:tcW w:type="dxa" w:w="1814"/>
            <w:shd w:fill="D3D3D3"/>
          </w:tcPr>
          <w:p>
            <w:pPr>
              <w:jc w:val="center"/>
            </w:pPr>
            <w:r>
              <w:rPr>
                <w:rFonts w:ascii="BundesSans Office" w:hAnsi="BundesSans Office"/>
                <w:b/>
                <w:sz w:val="22"/>
              </w:rPr>
              <w:t>Option 4: Externe DL</w:t>
            </w:r>
          </w:p>
        </w:tc>
        <w:tc>
          <w:tcPr>
            <w:tcW w:type="dxa" w:w="1814"/>
            <w:shd w:fill="D3D3D3"/>
          </w:tcPr>
          <w:p>
            <w:pPr>
              <w:jc w:val="center"/>
            </w:pPr>
            <w:r>
              <w:rPr>
                <w:rFonts w:ascii="BundesSans Office" w:hAnsi="BundesSans Office"/>
                <w:b/>
                <w:sz w:val="22"/>
              </w:rPr>
              <w:t>Gewicht</w:t>
            </w:r>
          </w:p>
        </w:tc>
      </w:tr>
      <w:tr>
        <w:tc>
          <w:tcPr>
            <w:tcW w:type="dxa" w:w="1814"/>
          </w:tcPr>
          <w:p>
            <w:pPr>
              <w:jc w:val="left"/>
            </w:pPr>
            <w:r>
              <w:rPr>
                <w:rFonts w:ascii="BundesSans Office" w:hAnsi="BundesSans Office"/>
                <w:sz w:val="22"/>
              </w:rPr>
              <w:t>Betriebscontrolle</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Zuverlässigkeit Winterdienst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Nachhaltigkeit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Strategische Unabhängigkeit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Schlecht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Fazit</w:t>
            </w:r>
          </w:p>
        </w:tc>
        <w:tc>
          <w:tcPr>
            <w:tcW w:type="dxa" w:w="1814"/>
          </w:tcPr>
          <w:p>
            <w:pPr>
              <w:jc w:val="left"/>
            </w:pPr>
            <w:r>
              <w:rPr>
                <w:rFonts w:ascii="BundesSans Office" w:hAnsi="BundesSans Office"/>
                <w:sz w:val="22"/>
              </w:rPr>
              <w:t>Beste Gesamtbewertung</w:t>
            </w:r>
          </w:p>
        </w:tc>
        <w:tc>
          <w:tcPr>
            <w:tcW w:type="dxa" w:w="1814"/>
          </w:tcPr>
          <w:p>
            <w:pPr>
              <w:jc w:val="left"/>
            </w:pPr>
            <w:r>
              <w:rPr>
                <w:rFonts w:ascii="BundesSans Office" w:hAnsi="BundesSans Office"/>
                <w:sz w:val="22"/>
              </w:rPr>
              <w:t>Ausgewogen</w:t>
            </w:r>
          </w:p>
        </w:tc>
        <w:tc>
          <w:tcPr>
            <w:tcW w:type="dxa" w:w="1814"/>
          </w:tcPr>
          <w:p>
            <w:pPr>
              <w:jc w:val="left"/>
            </w:pPr>
            <w:r>
              <w:rPr>
                <w:rFonts w:ascii="BundesSans Office" w:hAnsi="BundesSans Office"/>
                <w:sz w:val="22"/>
              </w:rPr>
              <w:t>Risiken</w:t>
            </w:r>
          </w:p>
        </w:tc>
        <w:tc>
          <w:tcPr>
            <w:tcW w:type="dxa" w:w="1814"/>
          </w:tcPr>
          <w:p>
            <w:pPr>
              <w:jc w:val="left"/>
            </w:pPr>
            <w:r>
              <w:rPr>
                <w:rFonts w:ascii="BundesSans Office" w:hAnsi="BundesSans Office"/>
                <w:sz w:val="22"/>
              </w:rPr>
              <w:t>—</w:t>
            </w:r>
          </w:p>
        </w:tc>
      </w:tr>
    </w:tbl>
    <w:p>
      <w:pPr>
        <w:jc w:val="left"/>
      </w:pPr>
      <w:r>
        <w:rPr>
          <w:rFonts w:ascii="BundesSans Office" w:hAnsi="BundesSans Office"/>
          <w:i/>
          <w:sz w:val="18"/>
        </w:rPr>
        <w:t>Tabelle 10: Nicht-monetäre Faktoren – Nutzwertanalyse der Optionen</w:t>
      </w:r>
    </w:p>
    <w:p>
      <w:r>
        <w:br w:type="page"/>
      </w:r>
    </w:p>
    <w:p>
      <w:pPr>
        <w:spacing w:before="240" w:after="120"/>
        <w:jc w:val="left"/>
      </w:pPr>
      <w:r>
        <w:rPr>
          <w:rFonts w:ascii="BundesSans Office" w:hAnsi="BundesSans Office"/>
          <w:b/>
          <w:color w:val="000000"/>
          <w:sz w:val="26"/>
        </w:rPr>
        <w:t>9 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Allradschleppers – umzusetzen. Diese Option erzielt mit einem Kapitalwert von 89.850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über zehn Jahre. Zweitens bietet Option 1 die höchste Betriebscontrolle und Zuverlässigkeit für Winterdienste und Grünflächenpflege. Drittens sichert Option 1 ganzjährige Verfügbarkeit unabhängig von externen Partnern. Viertens ermöglicht Option 1 langfristige Kostenplanbarkeit.</w:t>
      </w:r>
    </w:p>
    <w:p>
      <w:pPr>
        <w:spacing w:line="300" w:lineRule="auto"/>
        <w:jc w:val="both"/>
      </w:pPr>
      <w:r>
        <w:rPr>
          <w:rFonts w:ascii="BundesSans Office" w:hAnsi="BundesSans Office"/>
          <w:sz w:val="22"/>
        </w:rPr>
        <w:t>Empfohlene Spezifikation: Allradschlepper mit Motorleistung von mindestens 150 PS, EU-Emissionsnorm Stage V (mit DPF und SCR), Schnellwechsel-Aufnahmen für Zubehör, Kaufpreis circa 145.000 EUR netto. Typische Hersteller: Massey Ferguson, Deutz-Fahr oder Claas. Umsetzungszeitpunkt: Juni 2026.</w:t>
      </w:r>
    </w:p>
    <w:p>
      <w:r>
        <w:br w:type="page"/>
      </w:r>
    </w:p>
    <w:p>
      <w:pPr>
        <w:spacing w:before="240" w:after="120"/>
        <w:jc w:val="left"/>
      </w:pPr>
      <w:r>
        <w:rPr>
          <w:rFonts w:ascii="BundesSans Office" w:hAnsi="BundesSans Office"/>
          <w:b/>
          <w:color w:val="000000"/>
          <w:sz w:val="26"/>
        </w:rPr>
        <w:t>10 Anlagen</w:t>
      </w:r>
    </w:p>
    <w:p>
      <w:pPr>
        <w:spacing w:before="120" w:after="60"/>
        <w:jc w:val="left"/>
      </w:pPr>
      <w:r>
        <w:rPr>
          <w:rFonts w:ascii="BundesSans Office" w:hAnsi="BundesSans Office"/>
          <w:b/>
          <w:color w:val="000000"/>
          <w:sz w:val="24"/>
        </w:rPr>
        <w:t>Anlage 1: Marktrecherche Allradschlepper (Stand April 2026)</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Nr.</w:t>
            </w:r>
          </w:p>
        </w:tc>
        <w:tc>
          <w:tcPr>
            <w:tcW w:type="dxa" w:w="1814"/>
            <w:shd w:fill="D3D3D3"/>
          </w:tcPr>
          <w:p>
            <w:pPr>
              <w:jc w:val="center"/>
            </w:pPr>
            <w:r>
              <w:rPr>
                <w:rFonts w:ascii="BundesSans Office" w:hAnsi="BundesSans Office"/>
                <w:b/>
                <w:sz w:val="22"/>
              </w:rPr>
              <w:t>Produkt</w:t>
            </w:r>
          </w:p>
        </w:tc>
        <w:tc>
          <w:tcPr>
            <w:tcW w:type="dxa" w:w="1814"/>
            <w:shd w:fill="D3D3D3"/>
          </w:tcPr>
          <w:p>
            <w:pPr>
              <w:jc w:val="center"/>
            </w:pPr>
            <w:r>
              <w:rPr>
                <w:rFonts w:ascii="BundesSans Office" w:hAnsi="BundesSans Office"/>
                <w:b/>
                <w:sz w:val="22"/>
              </w:rPr>
              <w:t>Hersteller</w:t>
            </w:r>
          </w:p>
        </w:tc>
        <w:tc>
          <w:tcPr>
            <w:tcW w:type="dxa" w:w="1814"/>
            <w:shd w:fill="D3D3D3"/>
          </w:tcPr>
          <w:p>
            <w:pPr>
              <w:jc w:val="center"/>
            </w:pPr>
            <w:r>
              <w:rPr>
                <w:rFonts w:ascii="BundesSans Office" w:hAnsi="BundesSans Office"/>
                <w:b/>
                <w:sz w:val="22"/>
              </w:rPr>
              <w:t>Preis (netto)</w:t>
            </w:r>
          </w:p>
        </w:tc>
        <w:tc>
          <w:tcPr>
            <w:tcW w:type="dxa" w:w="1814"/>
            <w:shd w:fill="D3D3D3"/>
          </w:tcPr>
          <w:p>
            <w:pPr>
              <w:jc w:val="center"/>
            </w:pPr>
            <w:r>
              <w:rPr>
                <w:rFonts w:ascii="BundesSans Office" w:hAnsi="BundesSans Office"/>
                <w:b/>
                <w:sz w:val="22"/>
              </w:rPr>
              <w:t>Abrufdatum</w:t>
            </w:r>
          </w:p>
        </w:tc>
      </w:tr>
      <w:tr>
        <w:tc>
          <w:tcPr>
            <w:tcW w:type="dxa" w:w="1814"/>
          </w:tcPr>
          <w:p>
            <w:pPr>
              <w:jc w:val="center"/>
            </w:pPr>
            <w:r>
              <w:rPr>
                <w:rFonts w:ascii="BundesSans Office" w:hAnsi="BundesSans Office"/>
                <w:sz w:val="22"/>
              </w:rPr>
              <w:t>1</w:t>
            </w:r>
          </w:p>
        </w:tc>
        <w:tc>
          <w:tcPr>
            <w:tcW w:type="dxa" w:w="1814"/>
          </w:tcPr>
          <w:p>
            <w:pPr>
              <w:jc w:val="center"/>
            </w:pPr>
            <w:r>
              <w:rPr>
                <w:rFonts w:ascii="BundesSans Office" w:hAnsi="BundesSans Office"/>
                <w:sz w:val="22"/>
              </w:rPr>
              <w:t>Allradschlepper 150 PS, Stage V</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145.000 EUR (Marktmittel)</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2</w:t>
            </w:r>
          </w:p>
        </w:tc>
        <w:tc>
          <w:tcPr>
            <w:tcW w:type="dxa" w:w="1814"/>
          </w:tcPr>
          <w:p>
            <w:pPr>
              <w:jc w:val="left"/>
            </w:pPr>
            <w:r>
              <w:rPr>
                <w:rFonts w:ascii="BundesSans Office" w:hAnsi="BundesSans Office"/>
                <w:sz w:val="22"/>
              </w:rPr>
              <w:t>Leasing Allradschlepper (monatlich)</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1.000 EUR/Monat</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3</w:t>
            </w:r>
          </w:p>
        </w:tc>
        <w:tc>
          <w:tcPr>
            <w:tcW w:type="dxa" w:w="1814"/>
          </w:tcPr>
          <w:p>
            <w:pPr>
              <w:jc w:val="left"/>
            </w:pPr>
            <w:r>
              <w:rPr>
                <w:rFonts w:ascii="BundesSans Office" w:hAnsi="BundesSans Office"/>
                <w:sz w:val="22"/>
              </w:rPr>
              <w:t>Wartungskosten Traktor (jährlich)</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6,30 EUR/Betriebsstunde</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4</w:t>
            </w:r>
          </w:p>
        </w:tc>
        <w:tc>
          <w:tcPr>
            <w:tcW w:type="dxa" w:w="1814"/>
          </w:tcPr>
          <w:p>
            <w:pPr>
              <w:jc w:val="center"/>
            </w:pPr>
            <w:r>
              <w:rPr>
                <w:rFonts w:ascii="BundesSans Office" w:hAnsi="BundesSans Office"/>
                <w:sz w:val="22"/>
              </w:rPr>
              <w:t>Dieselverbrauch Traktor (150 PS)</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14 Liter/Stunde</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5</w:t>
            </w:r>
          </w:p>
        </w:tc>
        <w:tc>
          <w:tcPr>
            <w:tcW w:type="dxa" w:w="1814"/>
          </w:tcPr>
          <w:p>
            <w:pPr>
              <w:jc w:val="left"/>
            </w:pPr>
            <w:r>
              <w:rPr>
                <w:rFonts w:ascii="BundesSans Office" w:hAnsi="BundesSans Office"/>
                <w:sz w:val="22"/>
              </w:rPr>
              <w:t>Lohnunternehmer Winterdienst/Grünflächenpflege</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60 EUR/Stunde</w:t>
            </w:r>
          </w:p>
        </w:tc>
        <w:tc>
          <w:tcPr>
            <w:tcW w:type="dxa" w:w="1814"/>
          </w:tcPr>
          <w:p>
            <w:pPr>
              <w:jc w:val="center"/>
            </w:pPr>
            <w:r>
              <w:rPr>
                <w:rFonts w:ascii="BundesSans Office" w:hAnsi="BundesSans Office"/>
                <w:sz w:val="22"/>
              </w:rPr>
              <w:t>17.04.2026</w:t>
            </w:r>
          </w:p>
        </w:tc>
      </w:tr>
    </w:tbl>
    <w:p>
      <w:pPr>
        <w:jc w:val="left"/>
      </w:pPr>
      <w:r>
        <w:rPr>
          <w:rFonts w:ascii="BundesSans Office" w:hAnsi="BundesSans Office"/>
          <w:i/>
          <w:sz w:val="18"/>
        </w:rPr>
        <w:t>Tabelle 11: Marktrecherche Allradschlepper (Stand April 2026)</w:t>
      </w:r>
    </w:p>
    <w:p>
      <w:pPr>
        <w:spacing w:line="300" w:lineRule="auto"/>
        <w:jc w:val="both"/>
      </w:pPr>
      <w:r>
        <w:rPr>
          <w:rFonts w:ascii="BundesSans Office" w:hAnsi="BundesSans Office"/>
          <w:sz w:val="22"/>
        </w:rPr>
        <w:t>Quellen der Webrecherche (Abrufdatum 17. April 2026): Traktoren-Preise und Spezifikationen von Massey Ferguson, Deutz-Fahr und Claas (via LAND &amp; FORST, agrarheute.com); Leasingpreise (via leasinGo, abcfinance); Wartungskosten und Dieselverbrauch (via LAND &amp; FORST, sachsen.de); Lohnunternehmer-Kostensätze (via BerufExperten.de, MyHammer, daibau.de).</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Allradschlepper BwDLZ Hamburg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Allradschlepper BwDLZ Hamburg</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