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rsidRPr="00D82904">
              <w:rPr>
                <w:rFonts w:ascii="BundesSans Office" w:hAnsi="BundesSans Office" w:cs="Arial"/>
              </w:rPr>
              <w:t>xx.xx.20xx</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rsidRPr="00D82904">
              <w:rPr>
                <w:rFonts w:ascii="BundesSans Office" w:hAnsi="BundesSans Office" w:cs="Arial"/>
              </w:rPr>
              <w:t>x/x</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rPr>
                <w:rFonts w:ascii="BundesSans Office" w:hAnsi="BundesSans Office" w:cs="Arial"/>
              </w:rP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sidRPr="00D82904">
        <w:rPr>
          <w:rFonts w:ascii="BundesSans Office" w:hAnsi="BundesSans Office" w:cs="Arial"/>
          <w:b/>
        </w:rPr>
        <w:lastRenderedPageBreak/>
        <w:t>Dokumentinformationen</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AUTOTEXT  " Einfaches Textfeld"  \* MERGEFORMAT </w:instrText>
            </w:r>
            <w:r w:rsidRPr="00D82904">
              <w:rPr>
                <w:rFonts w:ascii="BundesSans Office" w:hAnsi="BundesSans Office" w:cs="Arial"/>
                <w:sz w:val="20"/>
                <w:szCs w:val="20"/>
              </w:rPr>
              <w:fldChar w:fldCharType="end"/>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t>Wirtschaftlichkeitsuntersuchung</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0E3521CC" w14:textId="4BBCD1C3" w:rsidR="00336EB7" w:rsidRPr="00D82904" w:rsidRDefault="00336EB7" w:rsidP="00E31079">
      <w:pPr>
        <w:pStyle w:val="Verzeichnis1"/>
        <w:rPr>
          <w:rFonts w:ascii="BundesSans Office" w:hAnsi="BundesSans Office" w:cs="Arial"/>
        </w:rPr>
      </w:pPr>
    </w:p>
    <w:p>
      <w:r>
        <w:br w:type="page"/>
      </w:r>
    </w:p>
    <w:p>
      <w:pPr>
        <w:spacing w:before="240" w:after="120"/>
        <w:jc w:val="left"/>
      </w:pPr>
      <w:r>
        <w:rPr>
          <w:rFonts w:ascii="BundesSans Office" w:hAnsi="BundesSans Office"/>
          <w:b/>
          <w:color w:val="000000"/>
          <w:sz w:val="26"/>
        </w:rPr>
        <w:t>Betrachtungsgegenstand</w:t>
      </w:r>
    </w:p>
    <w:p>
      <w:pPr>
        <w:spacing w:line="300" w:lineRule="auto"/>
        <w:jc w:val="both"/>
      </w:pPr>
      <w:r>
        <w:rPr>
          <w:rFonts w:ascii="BundesSans Office" w:hAnsi="BundesSans Office"/>
          <w:sz w:val="22"/>
        </w:rPr>
        <w:t>In der vorliegenden Untersuchung wird die Fähigkeit zur Erbringung von Winterdiensten und Grünflächenpflege für die BwDLZ Hamburg betrachtet. Der Untersuchungsgegenstand umfasst die technische, wirtschaftliche und organisatorische Machbarkeit einer Lösung für eine kontinuierliche Bedarfsdeckung über einen Betrachtungszeitraum von zehn Jahren. Es werden drei grundsätzlich mögliche Beschaffungsalternativen untersucht: Neukauf eines Allradschleppers, Leasing sowie Externe Dienstleistung durch Lohnunternehmer.</w:t>
      </w:r>
    </w:p>
    <w:p>
      <w:pPr>
        <w:spacing w:before="120" w:after="60"/>
        <w:jc w:val="left"/>
      </w:pPr>
      <w:r>
        <w:rPr>
          <w:rFonts w:ascii="BundesSans Office" w:hAnsi="BundesSans Office"/>
          <w:b/>
          <w:color w:val="000000"/>
          <w:sz w:val="24"/>
        </w:rPr>
        <w:t>Entscheidungsvorschlag</w:t>
      </w:r>
    </w:p>
    <w:p>
      <w:pPr>
        <w:spacing w:line="300" w:lineRule="auto"/>
        <w:jc w:val="both"/>
      </w:pPr>
      <w:r>
        <w:rPr>
          <w:rFonts w:ascii="BundesSans Office" w:hAnsi="BundesSans Office"/>
          <w:sz w:val="22"/>
        </w:rPr>
        <w:t>Auf Grundlage der durchgeführten Wirtschaftlichkeitsuntersuchung wird empfohlen, Option 1 (Neukauf eines modernen Allradschleppers) umzusetzen. Diese Option erzielt mit einem Kapitalwert von 89.850 Euro (einschließlich Risikowertung) das wirtschaftlichste Ergebnis unter allen bedarfsdeckenden Alternativen.</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Option</w:t>
            </w:r>
          </w:p>
        </w:tc>
        <w:tc>
          <w:tcPr>
            <w:tcW w:type="dxa" w:w="3024"/>
            <w:shd w:fill="D3D3D3"/>
          </w:tcPr>
          <w:p>
            <w:pPr>
              <w:jc w:val="center"/>
            </w:pPr>
            <w:r>
              <w:rPr>
                <w:rFonts w:ascii="BundesSans Office" w:hAnsi="BundesSans Office"/>
                <w:b/>
                <w:sz w:val="22"/>
              </w:rPr>
              <w:t>Kapitalwert ohne Risiko</w:t>
            </w:r>
          </w:p>
        </w:tc>
        <w:tc>
          <w:tcPr>
            <w:tcW w:type="dxa" w:w="3024"/>
            <w:shd w:fill="D3D3D3"/>
          </w:tcPr>
          <w:p>
            <w:pPr>
              <w:jc w:val="center"/>
            </w:pPr>
            <w:r>
              <w:rPr>
                <w:rFonts w:ascii="BundesSans Office" w:hAnsi="BundesSans Office"/>
                <w:b/>
                <w:sz w:val="22"/>
              </w:rPr>
              <w:t>Kapitalwert mit Risiko</w:t>
            </w:r>
          </w:p>
        </w:tc>
      </w:tr>
      <w:tr>
        <w:tc>
          <w:tcPr>
            <w:tcW w:type="dxa" w:w="3024"/>
          </w:tcPr>
          <w:p>
            <w:pPr>
              <w:jc w:val="center"/>
            </w:pPr>
            <w:r>
              <w:rPr>
                <w:rFonts w:ascii="BundesSans Office" w:hAnsi="BundesSans Office"/>
                <w:sz w:val="22"/>
              </w:rPr>
              <w:t>Option 1: Neukauf</w:t>
            </w:r>
          </w:p>
        </w:tc>
        <w:tc>
          <w:tcPr>
            <w:tcW w:type="dxa" w:w="3024"/>
          </w:tcPr>
          <w:p>
            <w:pPr>
              <w:jc w:val="center"/>
            </w:pPr>
            <w:r>
              <w:rPr>
                <w:rFonts w:ascii="BundesSans Office" w:hAnsi="BundesSans Office"/>
                <w:sz w:val="22"/>
              </w:rPr>
              <w:t>85.200 EUR</w:t>
            </w:r>
          </w:p>
        </w:tc>
        <w:tc>
          <w:tcPr>
            <w:tcW w:type="dxa" w:w="3024"/>
          </w:tcPr>
          <w:p>
            <w:pPr>
              <w:jc w:val="center"/>
            </w:pPr>
            <w:r>
              <w:rPr>
                <w:rFonts w:ascii="BundesSans Office" w:hAnsi="BundesSans Office"/>
                <w:sz w:val="22"/>
              </w:rPr>
              <w:t>89.850 EUR</w:t>
            </w:r>
          </w:p>
        </w:tc>
      </w:tr>
      <w:tr>
        <w:tc>
          <w:tcPr>
            <w:tcW w:type="dxa" w:w="3024"/>
          </w:tcPr>
          <w:p>
            <w:pPr>
              <w:jc w:val="center"/>
            </w:pPr>
            <w:r>
              <w:rPr>
                <w:rFonts w:ascii="BundesSans Office" w:hAnsi="BundesSans Office"/>
                <w:sz w:val="22"/>
              </w:rPr>
              <w:t>Option 2: Leasing</w:t>
            </w:r>
          </w:p>
        </w:tc>
        <w:tc>
          <w:tcPr>
            <w:tcW w:type="dxa" w:w="3024"/>
          </w:tcPr>
          <w:p>
            <w:pPr>
              <w:jc w:val="center"/>
            </w:pPr>
            <w:r>
              <w:rPr>
                <w:rFonts w:ascii="BundesSans Office" w:hAnsi="BundesSans Office"/>
                <w:sz w:val="22"/>
              </w:rPr>
              <w:t>112.500 EUR</w:t>
            </w:r>
          </w:p>
        </w:tc>
        <w:tc>
          <w:tcPr>
            <w:tcW w:type="dxa" w:w="3024"/>
          </w:tcPr>
          <w:p>
            <w:pPr>
              <w:jc w:val="center"/>
            </w:pPr>
            <w:r>
              <w:rPr>
                <w:rFonts w:ascii="BundesSans Office" w:hAnsi="BundesSans Office"/>
                <w:sz w:val="22"/>
              </w:rPr>
              <w:t>118.200 EUR</w:t>
            </w:r>
          </w:p>
        </w:tc>
      </w:tr>
      <w:tr>
        <w:tc>
          <w:tcPr>
            <w:tcW w:type="dxa" w:w="3024"/>
          </w:tcPr>
          <w:p>
            <w:pPr>
              <w:jc w:val="center"/>
            </w:pPr>
            <w:r>
              <w:rPr>
                <w:rFonts w:ascii="BundesSans Office" w:hAnsi="BundesSans Office"/>
                <w:sz w:val="22"/>
              </w:rPr>
              <w:t>Option 4: Externe DL</w:t>
            </w:r>
          </w:p>
        </w:tc>
        <w:tc>
          <w:tcPr>
            <w:tcW w:type="dxa" w:w="3024"/>
          </w:tcPr>
          <w:p>
            <w:pPr>
              <w:jc w:val="center"/>
            </w:pPr>
            <w:r>
              <w:rPr>
                <w:rFonts w:ascii="BundesSans Office" w:hAnsi="BundesSans Office"/>
                <w:sz w:val="22"/>
              </w:rPr>
              <w:t>156.000 EUR</w:t>
            </w:r>
          </w:p>
        </w:tc>
        <w:tc>
          <w:tcPr>
            <w:tcW w:type="dxa" w:w="3024"/>
          </w:tcPr>
          <w:p>
            <w:pPr>
              <w:jc w:val="center"/>
            </w:pPr>
            <w:r>
              <w:rPr>
                <w:rFonts w:ascii="BundesSans Office" w:hAnsi="BundesSans Office"/>
                <w:sz w:val="22"/>
              </w:rPr>
              <w:t>163.200 EUR</w:t>
            </w:r>
          </w:p>
        </w:tc>
      </w:tr>
    </w:tbl>
    <w:p>
      <w:pPr>
        <w:jc w:val="left"/>
      </w:pPr>
      <w:r>
        <w:rPr>
          <w:rFonts w:ascii="BundesSans Office" w:hAnsi="BundesSans Office"/>
          <w:i/>
          <w:sz w:val="18"/>
        </w:rPr>
        <w:t>Tabelle 1: Entscheidungsvorschlag – Übersicht der Optionen</w:t>
      </w:r>
    </w:p>
    <w:p>
      <w:r>
        <w:br w:type="page"/>
      </w:r>
    </w:p>
    <w:p>
      <w:pPr>
        <w:spacing w:before="240" w:after="120"/>
        <w:jc w:val="left"/>
      </w:pPr>
      <w:r>
        <w:rPr>
          <w:rFonts w:ascii="BundesSans Office" w:hAnsi="BundesSans Office"/>
          <w:b/>
          <w:color w:val="000000"/>
          <w:sz w:val="26"/>
        </w:rPr>
        <w:t>1 Funktionale Bedarfsforderung, Bedarfsprognose und Rahmenbedingungen</w:t>
      </w:r>
    </w:p>
    <w:p>
      <w:pPr>
        <w:spacing w:before="120" w:after="60"/>
        <w:jc w:val="left"/>
      </w:pPr>
      <w:r>
        <w:rPr>
          <w:rFonts w:ascii="BundesSans Office" w:hAnsi="BundesSans Office"/>
          <w:b/>
          <w:color w:val="000000"/>
          <w:sz w:val="24"/>
        </w:rPr>
        <w:t>1.1 Funktionale Bedarfsforderung</w:t>
      </w:r>
    </w:p>
    <w:p>
      <w:pPr>
        <w:spacing w:line="300" w:lineRule="auto"/>
        <w:jc w:val="both"/>
      </w:pPr>
      <w:r>
        <w:rPr>
          <w:rFonts w:ascii="BundesSans Office" w:hAnsi="BundesSans Office"/>
          <w:sz w:val="22"/>
        </w:rPr>
        <w:t>Die BwDLZ Hamburg benötigt die Fähigkeit, Winterdienste (Schneeräumung, Streudienste) und Grünflächenpflege (Mähen, Mulchen, Wegeunterhalt) durchzuführen. Der Bedarf umfasst eine Einsatzzeit von 100 Arbeitstagen pro Jahr mit durchschnittlich fünf Betriebsstunden pro Tag (insgesamt 500 Betriebsstunden jährlich). Die Maßnahme erfordert ein Fahrzeug mit mindestens 150 PS Leistung und entsprechendem Zubehör für Winter- und Grünflächenarbeiten. Die Maßnahme ist erforderlich, um die Verkehrssicherheit und Infrastrukturpflege auf dem Gelände der BwDLZ Hamburg zu gewährleisten.</w:t>
      </w:r>
    </w:p>
    <w:p>
      <w:pPr>
        <w:spacing w:before="120" w:after="60"/>
        <w:jc w:val="left"/>
      </w:pPr>
      <w:r>
        <w:rPr>
          <w:rFonts w:ascii="BundesSans Office" w:hAnsi="BundesSans Office"/>
          <w:b/>
          <w:color w:val="000000"/>
          <w:sz w:val="24"/>
        </w:rPr>
        <w:t>1.2 Bedarfsprognose</w:t>
      </w:r>
    </w:p>
    <w:p>
      <w:pPr>
        <w:spacing w:line="300" w:lineRule="auto"/>
        <w:jc w:val="both"/>
      </w:pPr>
      <w:r>
        <w:rPr>
          <w:rFonts w:ascii="BundesSans Office" w:hAnsi="BundesSans Office"/>
          <w:sz w:val="22"/>
        </w:rPr>
        <w:t>Der Bedarf wird über den gesamten Betrachtungszeitraum von zehn Jahren als konstant eingeschätzt. Es ist nicht mit einer wesentlichen Änderung zu rechnen, da die Winterdienst- und Grünflächenpflegeleistungen strukturell unveränderliche Aufgaben darstellen. Die Nutzungshäufigkeit wird mit 100 Arbeitstagen pro Jahr (500 Betriebsstunden jährlich) angenommen und bleibt über den Planungszeitraum stabil.</w:t>
      </w:r>
    </w:p>
    <w:p>
      <w:pPr>
        <w:spacing w:before="120" w:after="60"/>
        <w:jc w:val="left"/>
      </w:pPr>
      <w:r>
        <w:rPr>
          <w:rFonts w:ascii="BundesSans Office" w:hAnsi="BundesSans Office"/>
          <w:b/>
          <w:color w:val="000000"/>
          <w:sz w:val="24"/>
        </w:rPr>
        <w:t>1.3 Rahmenbedingungen</w:t>
      </w:r>
    </w:p>
    <w:p>
      <w:pPr>
        <w:spacing w:before="60" w:after="60"/>
        <w:jc w:val="left"/>
      </w:pPr>
      <w:r>
        <w:rPr>
          <w:rFonts w:ascii="BundesSans Office" w:hAnsi="BundesSans Office"/>
          <w:b/>
          <w:color w:val="000000"/>
          <w:sz w:val="24"/>
        </w:rPr>
        <w:t>1.3.1 Rechtliche Rahmenbedingungen</w:t>
      </w:r>
    </w:p>
    <w:p>
      <w:pPr>
        <w:spacing w:line="300" w:lineRule="auto"/>
        <w:jc w:val="both"/>
      </w:pPr>
      <w:r>
        <w:rPr>
          <w:rFonts w:ascii="BundesSans Office" w:hAnsi="BundesSans Office"/>
          <w:sz w:val="22"/>
        </w:rPr>
        <w:t>Die Anschaffung und der Betrieb eines Allradschleppers unterliegen den Bestimmungen der Bundeshaushaltsordnung (§ 7 BHO) sowie der Allgemeinen Regelung Wirtschaftlichkeitsuntersuchungen der Bundeswehr (AR A-2400/62). Alle Traktoren müssen der EU-Emissionsnorm Stage V entsprechen und mit Dieselpartikelfilter (DPF) und SCR-System ausgestattet sein. Es bestehen keine rechtlichen Ausschlussgründe für die grundsätzlich möglichen Beschaffungsalternativen.</w:t>
      </w:r>
    </w:p>
    <w:p>
      <w:pPr>
        <w:spacing w:before="60" w:after="60"/>
        <w:jc w:val="left"/>
      </w:pPr>
      <w:r>
        <w:rPr>
          <w:rFonts w:ascii="BundesSans Office" w:hAnsi="BundesSans Office"/>
          <w:b/>
          <w:color w:val="000000"/>
          <w:sz w:val="24"/>
        </w:rPr>
        <w:t>1.3.2 Technische Rahmenbedingungen</w:t>
      </w:r>
    </w:p>
    <w:p>
      <w:pPr>
        <w:spacing w:line="300" w:lineRule="auto"/>
        <w:jc w:val="both"/>
      </w:pPr>
      <w:r>
        <w:rPr>
          <w:rFonts w:ascii="BundesSans Office" w:hAnsi="BundesSans Office"/>
          <w:sz w:val="22"/>
        </w:rPr>
        <w:t>Der Schlepper muss eine Motorleistung von mindestens 150 PS aufweisen und über Schnellwechsel-Aufnahmen für Zubehör verfügen. Erforderlich ist die Ausrüstung für Winterdienste (Schneeschieber, Streuer) und Grünflächenpflege (Mähwerk, Mulcher). Die Infrastruktur der BwDLZ Hamburg (Unterstand, Wartungsbetrieb) ist vorhanden.</w:t>
      </w:r>
    </w:p>
    <w:p>
      <w:pPr>
        <w:spacing w:before="60" w:after="60"/>
        <w:jc w:val="left"/>
      </w:pPr>
      <w:r>
        <w:rPr>
          <w:rFonts w:ascii="BundesSans Office" w:hAnsi="BundesSans Office"/>
          <w:b/>
          <w:color w:val="000000"/>
          <w:sz w:val="24"/>
        </w:rPr>
        <w:t>1.3.3 Zeitliche Rahmenbedingungen</w:t>
      </w:r>
    </w:p>
    <w:p>
      <w:pPr>
        <w:spacing w:line="300" w:lineRule="auto"/>
        <w:jc w:val="both"/>
      </w:pPr>
      <w:r>
        <w:rPr>
          <w:rFonts w:ascii="BundesSans Office" w:hAnsi="BundesSans Office"/>
          <w:sz w:val="22"/>
        </w:rPr>
        <w:t>Das Fahrzeug muss bis Juni 2026 einsatzbereit verfügbar sein, um die Winterdienste und Grünflächenpflege ab Sommerhalbjahr 2026 durchzuführen. Eine kontinuierliche, täglich verfügbare Leistungserbringung ist erforderlich für Grünflächenpflege und Schneeräumungsbereitschaft.</w:t>
      </w:r>
    </w:p>
    <w:p>
      <w:r>
        <w:br w:type="page"/>
      </w:r>
    </w:p>
    <w:p>
      <w:pPr>
        <w:spacing w:before="240" w:after="120"/>
        <w:jc w:val="left"/>
      </w:pPr>
      <w:r>
        <w:rPr>
          <w:rFonts w:ascii="BundesSans Office" w:hAnsi="BundesSans Office"/>
          <w:b/>
          <w:color w:val="000000"/>
          <w:sz w:val="26"/>
        </w:rPr>
        <w:t>2 Ausgangslage</w:t>
      </w:r>
    </w:p>
    <w:p>
      <w:pPr>
        <w:spacing w:before="120" w:after="60"/>
        <w:jc w:val="left"/>
      </w:pPr>
      <w:r>
        <w:rPr>
          <w:rFonts w:ascii="BundesSans Office" w:hAnsi="BundesSans Office"/>
          <w:b/>
          <w:color w:val="000000"/>
          <w:sz w:val="24"/>
        </w:rPr>
        <w:t>2.1 Ablauforganisation</w:t>
      </w:r>
    </w:p>
    <w:p>
      <w:pPr>
        <w:spacing w:line="300" w:lineRule="auto"/>
        <w:jc w:val="both"/>
      </w:pPr>
      <w:r>
        <w:rPr>
          <w:rFonts w:ascii="BundesSans Office" w:hAnsi="BundesSans Office"/>
          <w:sz w:val="22"/>
        </w:rPr>
        <w:t>Die Winterdienst- und Grünflächenpflegeleistungen werden derzeit durch zwei Mitarbeiter der BwDLZ Hamburg mit einem vorhandenen Allradschlepper erbracht. Der Prozessablauf gliedert sich in zwei Kernbereiche: Erstens werden in den Wintermonaten (November bis März) Schneeräumung und Streudienste auf den Liegenschaften durchgeführt. Zweitens erfolgt die Grünflächenpflege (Mähen, Mulchen, Wegeunterhalt) ganzjährig. Diese Prozesse sind zeitaufwendig und personalbindend.</w:t>
      </w:r>
    </w:p>
    <w:p>
      <w:pPr>
        <w:spacing w:before="120" w:after="60"/>
        <w:jc w:val="left"/>
      </w:pPr>
      <w:r>
        <w:rPr>
          <w:rFonts w:ascii="BundesSans Office" w:hAnsi="BundesSans Office"/>
          <w:b/>
          <w:color w:val="000000"/>
          <w:sz w:val="24"/>
        </w:rPr>
        <w:t>2.2 Aufbauorganisation</w:t>
      </w:r>
    </w:p>
    <w:p>
      <w:pPr>
        <w:spacing w:line="300" w:lineRule="auto"/>
        <w:jc w:val="both"/>
      </w:pPr>
      <w:r>
        <w:rPr>
          <w:rFonts w:ascii="BundesSans Office" w:hAnsi="BundesSans Office"/>
          <w:sz w:val="22"/>
        </w:rPr>
        <w:t>Für die Erbringung der Winterdienst- und Grünflächenpflegeleistungen ist die Abteilung Liegenschaften und Infrastruktur zuständig, die der Betriebsleitung der BwDLZ Hamburg unterstellt ist. Die operative Verantwortung liegt beim Leiter Infrastruktur. Weitere beteiligte Stellen sind die Abteilung Arbeitssicherheit (für Fahrerqualifikation und Betriebsmittelprüfung) und die Finanzwirtschaft (für Budgetierung und Kostenfreigabe).</w:t>
      </w:r>
    </w:p>
    <w:p>
      <w:pPr>
        <w:spacing w:before="120" w:after="60"/>
        <w:jc w:val="left"/>
      </w:pPr>
      <w:r>
        <w:rPr>
          <w:rFonts w:ascii="BundesSans Office" w:hAnsi="BundesSans Office"/>
          <w:b/>
          <w:color w:val="000000"/>
          <w:sz w:val="24"/>
        </w:rPr>
        <w:t>2.3 Personal</w:t>
      </w:r>
    </w:p>
    <w:p>
      <w:pPr>
        <w:spacing w:line="300" w:lineRule="auto"/>
        <w:jc w:val="both"/>
      </w:pPr>
      <w:r>
        <w:rPr>
          <w:rFonts w:ascii="BundesSans Office" w:hAnsi="BundesSans Office"/>
          <w:sz w:val="22"/>
        </w:rPr>
        <w:t>Für die derzeitige Erbringung von Winterdiensten und Grünflächenpflege werden zwei Vollzeitäquivalente (VZÄ) der Entgeltgruppe A5 eingesetzt. Die jährlichen Personalvollkosten betragen 75.000 Euro (Vollkosten gemäß PSK 2024).</w:t>
      </w:r>
    </w:p>
    <w:p>
      <w:pPr>
        <w:spacing w:line="300" w:lineRule="auto"/>
        <w:jc w:val="both"/>
      </w:pPr>
      <w:r>
        <w:rPr>
          <w:rFonts w:ascii="BundesSans Office" w:hAnsi="BundesSans Office"/>
          <w:sz w:val="22"/>
        </w:rPr>
        <w:t>Rechenweg: 2 VZÄ (A5) × 37.500 EUR/VZÄ (PSK 2024) = 75.000 EUR; Gesamtpersonalkosten = 75.000 EUR/Jahr.</w:t>
      </w:r>
    </w:p>
    <w:p>
      <w:pPr>
        <w:spacing w:before="120" w:after="60"/>
        <w:jc w:val="left"/>
      </w:pPr>
      <w:r>
        <w:rPr>
          <w:rFonts w:ascii="BundesSans Office" w:hAnsi="BundesSans Office"/>
          <w:b/>
          <w:color w:val="000000"/>
          <w:sz w:val="24"/>
        </w:rPr>
        <w:t>2.4 Material</w:t>
      </w:r>
    </w:p>
    <w:p>
      <w:pPr>
        <w:spacing w:line="300" w:lineRule="auto"/>
        <w:jc w:val="both"/>
      </w:pPr>
      <w:r>
        <w:rPr>
          <w:rFonts w:ascii="BundesSans Office" w:hAnsi="BundesSans Office"/>
          <w:sz w:val="22"/>
        </w:rPr>
        <w:t>Der Traktor verbraucht durchschnittlich 14 Liter Diesel pro Betriebsstunde. Bei 500 Betriebsstunden jährlich und einem Dieselpreis von 1,50 Euro pro Liter betragen die Dieselkosten 10.500 Euro pro Jahr. Zubehör und Ersatzteile belaufen sich auf 800 Euro jährlich.</w:t>
      </w:r>
    </w:p>
    <w:p>
      <w:pPr>
        <w:spacing w:line="300" w:lineRule="auto"/>
        <w:jc w:val="both"/>
      </w:pPr>
      <w:r>
        <w:rPr>
          <w:rFonts w:ascii="BundesSans Office" w:hAnsi="BundesSans Office"/>
          <w:sz w:val="22"/>
        </w:rPr>
        <w:t>Rechenweg: Diesel (500h × 14l × 1,50 EUR/l = 10.500 EUR) + Zubehör/Ersatzteile (800 EUR) = 11.300 EUR/Jahr.</w:t>
      </w:r>
    </w:p>
    <w:p>
      <w:pPr>
        <w:spacing w:before="120" w:after="60"/>
        <w:jc w:val="left"/>
      </w:pPr>
      <w:r>
        <w:rPr>
          <w:rFonts w:ascii="BundesSans Office" w:hAnsi="BundesSans Office"/>
          <w:b/>
          <w:color w:val="000000"/>
          <w:sz w:val="24"/>
        </w:rPr>
        <w:t>2.5 Infrastruktur</w:t>
      </w:r>
    </w:p>
    <w:p>
      <w:pPr>
        <w:spacing w:line="300" w:lineRule="auto"/>
        <w:jc w:val="both"/>
      </w:pPr>
      <w:r>
        <w:rPr>
          <w:rFonts w:ascii="BundesSans Office" w:hAnsi="BundesSans Office"/>
          <w:sz w:val="22"/>
        </w:rPr>
        <w:t>Der Traktor wird in einem vorhandenen Unterstand untergebracht. Die Infrastrukturkosten sind minimal, da die notwendigen Strukturen bereits existieren.</w:t>
      </w:r>
    </w:p>
    <w:p>
      <w:pPr>
        <w:spacing w:before="120" w:after="60"/>
        <w:jc w:val="left"/>
      </w:pPr>
      <w:r>
        <w:rPr>
          <w:rFonts w:ascii="BundesSans Office" w:hAnsi="BundesSans Office"/>
          <w:b/>
          <w:color w:val="000000"/>
          <w:sz w:val="24"/>
        </w:rPr>
        <w:t>2.6 Sach- und Dienstleistungen</w:t>
      </w:r>
    </w:p>
    <w:p>
      <w:pPr>
        <w:spacing w:line="300" w:lineRule="auto"/>
        <w:jc w:val="both"/>
      </w:pPr>
      <w:r>
        <w:rPr>
          <w:rFonts w:ascii="BundesSans Office" w:hAnsi="BundesSans Office"/>
          <w:sz w:val="22"/>
        </w:rPr>
        <w:t>Die Wartungs- und Reparaturkosten betragen 3.150 Euro pro Jahr (6,30 Euro je Betriebsstunde). Versicherung und Steuer kosten 700 Euro jährlich.</w:t>
      </w:r>
    </w:p>
    <w:p>
      <w:pPr>
        <w:spacing w:line="300" w:lineRule="auto"/>
        <w:jc w:val="both"/>
      </w:pPr>
      <w:r>
        <w:rPr>
          <w:rFonts w:ascii="BundesSans Office" w:hAnsi="BundesSans Office"/>
          <w:sz w:val="22"/>
        </w:rPr>
        <w:t>Rechenweg: Wartung/Reparatur (500h × 6,30 EUR/h = 3.150 EUR) + Versicherung/Steuer (700 EUR) = 3.850 EUR/Jahr.</w:t>
      </w:r>
    </w:p>
    <w:p>
      <w:pPr>
        <w:spacing w:before="120" w:after="60"/>
        <w:jc w:val="left"/>
      </w:pPr>
      <w:r>
        <w:rPr>
          <w:rFonts w:ascii="BundesSans Office" w:hAnsi="BundesSans Office"/>
          <w:b/>
          <w:color w:val="000000"/>
          <w:sz w:val="24"/>
        </w:rPr>
        <w:t>2.7 Ggf. Einnahmen</w:t>
      </w:r>
    </w:p>
    <w:p>
      <w:pPr>
        <w:spacing w:line="300" w:lineRule="auto"/>
        <w:jc w:val="both"/>
      </w:pPr>
      <w:r>
        <w:rPr>
          <w:rFonts w:ascii="BundesSans Office" w:hAnsi="BundesSans Office"/>
          <w:sz w:val="22"/>
        </w:rPr>
        <w:t>Im Rahmen der gegenwärtigen Ist-Lösung entstehen keine direkten Einnahmen. Die Leistungen sind interne Bedarfsdeckung für die BwDLZ Hamburg.</w:t>
      </w:r>
    </w:p>
    <w:p>
      <w:pPr>
        <w:spacing w:before="120" w:after="60"/>
        <w:jc w:val="left"/>
      </w:pPr>
      <w:r>
        <w:rPr>
          <w:rFonts w:ascii="BundesSans Office" w:hAnsi="BundesSans Office"/>
          <w:b/>
          <w:color w:val="000000"/>
          <w:sz w:val="24"/>
        </w:rPr>
        <w:t>2.8 Haushälterische Darstellung</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Position</w:t>
            </w:r>
          </w:p>
        </w:tc>
        <w:tc>
          <w:tcPr>
            <w:tcW w:type="dxa" w:w="2268"/>
            <w:shd w:fill="D3D3D3"/>
          </w:tcPr>
          <w:p>
            <w:pPr>
              <w:jc w:val="center"/>
            </w:pPr>
            <w:r>
              <w:rPr>
                <w:rFonts w:ascii="BundesSans Office" w:hAnsi="BundesSans Office"/>
                <w:b/>
                <w:sz w:val="22"/>
              </w:rPr>
              <w:t>Kapitel/Titel</w:t>
            </w:r>
          </w:p>
        </w:tc>
        <w:tc>
          <w:tcPr>
            <w:tcW w:type="dxa" w:w="2268"/>
            <w:shd w:fill="D3D3D3"/>
          </w:tcPr>
          <w:p>
            <w:pPr>
              <w:jc w:val="center"/>
            </w:pPr>
            <w:r>
              <w:rPr>
                <w:rFonts w:ascii="BundesSans Office" w:hAnsi="BundesSans Office"/>
                <w:b/>
                <w:sz w:val="22"/>
              </w:rPr>
              <w:t>Ausgaben in EUR</w:t>
            </w:r>
          </w:p>
        </w:tc>
        <w:tc>
          <w:tcPr>
            <w:tcW w:type="dxa" w:w="2268"/>
            <w:shd w:fill="D3D3D3"/>
          </w:tcPr>
          <w:p>
            <w:pPr>
              <w:jc w:val="center"/>
            </w:pPr>
            <w:r>
              <w:rPr>
                <w:rFonts w:ascii="BundesSans Office" w:hAnsi="BundesSans Office"/>
                <w:b/>
                <w:sz w:val="22"/>
              </w:rPr>
              <w:t>Einnahmen in EUR</w:t>
            </w:r>
          </w:p>
        </w:tc>
      </w:tr>
      <w:tr>
        <w:tc>
          <w:tcPr>
            <w:tcW w:type="dxa" w:w="2268"/>
          </w:tcPr>
          <w:p>
            <w:pPr>
              <w:jc w:val="left"/>
            </w:pPr>
            <w:r>
              <w:rPr>
                <w:rFonts w:ascii="BundesSans Office" w:hAnsi="BundesSans Office"/>
                <w:sz w:val="22"/>
              </w:rPr>
              <w:t>Personal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75.000,00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Material/Diesel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11.300,00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Sach- und DL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3.850,00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Infrastruktur</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Gesamt</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90.150,00</w:t>
            </w:r>
          </w:p>
        </w:tc>
        <w:tc>
          <w:tcPr>
            <w:tcW w:type="dxa" w:w="2268"/>
          </w:tcPr>
          <w:p>
            <w:pPr>
              <w:jc w:val="center"/>
            </w:pPr>
            <w:r>
              <w:rPr>
                <w:rFonts w:ascii="BundesSans Office" w:hAnsi="BundesSans Office"/>
                <w:sz w:val="22"/>
              </w:rPr>
              <w:t>0,00</w:t>
            </w:r>
          </w:p>
        </w:tc>
      </w:tr>
    </w:tbl>
    <w:p>
      <w:pPr>
        <w:jc w:val="left"/>
      </w:pPr>
      <w:r>
        <w:rPr>
          <w:rFonts w:ascii="BundesSans Office" w:hAnsi="BundesSans Office"/>
          <w:i/>
          <w:sz w:val="18"/>
        </w:rPr>
        <w:t>Tabelle 2: Ausgangslage – Haushälterische Darstellung</w:t>
      </w:r>
    </w:p>
    <w:p>
      <w:r>
        <w:br w:type="page"/>
      </w:r>
    </w:p>
    <w:p>
      <w:pPr>
        <w:spacing w:before="240" w:after="120"/>
        <w:jc w:val="left"/>
      </w:pPr>
      <w:r>
        <w:rPr>
          <w:rFonts w:ascii="BundesSans Office" w:hAnsi="BundesSans Office"/>
          <w:b/>
          <w:color w:val="000000"/>
          <w:sz w:val="26"/>
        </w:rPr>
        <w:t>3 Optionen der Bedarfsdeckung</w:t>
      </w:r>
    </w:p>
    <w:p>
      <w:pPr>
        <w:spacing w:before="120" w:after="60"/>
        <w:jc w:val="left"/>
      </w:pPr>
      <w:r>
        <w:rPr>
          <w:rFonts w:ascii="BundesSans Office" w:hAnsi="BundesSans Office"/>
          <w:b/>
          <w:color w:val="000000"/>
          <w:sz w:val="24"/>
        </w:rPr>
        <w:t>3.1 Grundsätzlich mögliche Optionen</w:t>
      </w:r>
    </w:p>
    <w:p>
      <w:pPr>
        <w:spacing w:line="300" w:lineRule="auto"/>
        <w:jc w:val="both"/>
      </w:pPr>
      <w:r>
        <w:rPr>
          <w:rFonts w:ascii="BundesSans Office" w:hAnsi="BundesSans Office"/>
          <w:sz w:val="22"/>
        </w:rPr>
        <w:t>Zur Deckung des Bedarfs an Winterdiensten und Grünflächenpflege werden vier grundsätzlich mögliche Optionen betrachtet.</w:t>
      </w:r>
    </w:p>
    <w:p>
      <w:pPr>
        <w:spacing w:line="300" w:lineRule="auto"/>
        <w:jc w:val="both"/>
      </w:pPr>
      <w:r>
        <w:rPr>
          <w:rFonts w:ascii="BundesSans Office" w:hAnsi="BundesSans Office"/>
          <w:sz w:val="22"/>
        </w:rPr>
        <w:t>Option 1 – Neukauf eines modernen Allradschleppers: Mit dieser Option wird ein neuer Traktor (mindestens 150 PS, Stage V) durch direkte Mittelbeschaffung erworben und anschließend durch die BwDLZ Hamburg in eigenständiger Verantwortung betrieben. Die Betriebsverantwortung für Wartung, Reparaturen und Betriebsmittel liegt bei der BwDLZ.</w:t>
      </w:r>
    </w:p>
    <w:p>
      <w:pPr>
        <w:spacing w:line="300" w:lineRule="auto"/>
        <w:jc w:val="both"/>
      </w:pPr>
      <w:r>
        <w:rPr>
          <w:rFonts w:ascii="BundesSans Office" w:hAnsi="BundesSans Office"/>
          <w:sz w:val="22"/>
        </w:rPr>
        <w:t>Option 2 – Leasing eines Allradschleppers: Mit dieser Option wird ein Leasingvertrag mit einem professionellen Leasinggeber über 48 Monate abgeschlossen. Der Leasinggeber trägt Wartungs- und Versicherungsrisiken und stellt bei technischen Defekten Ersatzgeräte zur Verfügung.</w:t>
      </w:r>
    </w:p>
    <w:p>
      <w:pPr>
        <w:spacing w:line="300" w:lineRule="auto"/>
        <w:jc w:val="both"/>
      </w:pPr>
      <w:r>
        <w:rPr>
          <w:rFonts w:ascii="BundesSans Office" w:hAnsi="BundesSans Office"/>
          <w:sz w:val="22"/>
        </w:rPr>
        <w:t>Option 3 – Miete nach Bedarf: Mit dieser Option wird ein Traktor flexibel bei Bedarf von Mietanbietern angemietet (tageweise/wochenweise). Maximale Flexibilität, aber hohe tägliche Mietgebühren.</w:t>
      </w:r>
    </w:p>
    <w:p>
      <w:pPr>
        <w:spacing w:line="300" w:lineRule="auto"/>
        <w:jc w:val="both"/>
      </w:pPr>
      <w:r>
        <w:rPr>
          <w:rFonts w:ascii="BundesSans Office" w:hAnsi="BundesSans Office"/>
          <w:sz w:val="22"/>
        </w:rPr>
        <w:t>Option 4 – Externe Dienstleistung: Mit dieser Option werden Winterdienst und Grünflächenpflege vollständig durch einen Lohnunternehmer erbracht. Die BwDLZ Hamburg hat nur noch Koordinierungsaufgaben und kann die beiden Mitarbeiter reduzieren.</w:t>
      </w:r>
    </w:p>
    <w:p>
      <w:pPr>
        <w:spacing w:before="120" w:after="60"/>
        <w:jc w:val="left"/>
      </w:pPr>
      <w:r>
        <w:rPr>
          <w:rFonts w:ascii="BundesSans Office" w:hAnsi="BundesSans Office"/>
          <w:b/>
          <w:color w:val="000000"/>
          <w:sz w:val="24"/>
        </w:rPr>
        <w:t>3.2 Aussonderung von ungeeigneten Optionen</w:t>
      </w:r>
    </w:p>
    <w:p>
      <w:pPr>
        <w:spacing w:line="300" w:lineRule="auto"/>
        <w:jc w:val="both"/>
      </w:pPr>
      <w:r>
        <w:rPr>
          <w:rFonts w:ascii="BundesSans Office" w:hAnsi="BundesSans Office"/>
          <w:sz w:val="22"/>
        </w:rPr>
        <w:t>Option 3 (Miete nach Bedarf) wird aus der weiteren Betrachtung ausgeschieden, da die in Kapitel 1.3.3 definierten zeitlichen Rahmenbedingungen nicht erfüllt werden. Der Bedarf ist geprägt durch kontinuierliche, täglich verfügbare Grünflächenpflege sowie ganzjährige Schneeräumungsbereitschaft. Eine tageweise Miete führt zu einer wirtschaftlich unrentablen Dauermiete und ist für die erforderliche kontinuierliche Verfügbarkeit ungeeignet.</w:t>
      </w:r>
    </w:p>
    <w:p>
      <w:pPr>
        <w:spacing w:before="120" w:after="60"/>
        <w:jc w:val="left"/>
      </w:pPr>
      <w:r>
        <w:rPr>
          <w:rFonts w:ascii="BundesSans Office" w:hAnsi="BundesSans Office"/>
          <w:b/>
          <w:color w:val="000000"/>
          <w:sz w:val="24"/>
        </w:rPr>
        <w:t>3.3 Ausführliche Darstellung der geeigneten Optionen</w:t>
      </w:r>
    </w:p>
    <w:p>
      <w:pPr>
        <w:spacing w:before="60" w:after="60"/>
        <w:jc w:val="left"/>
      </w:pPr>
      <w:r>
        <w:rPr>
          <w:rFonts w:ascii="BundesSans Office" w:hAnsi="BundesSans Office"/>
          <w:b/>
          <w:color w:val="000000"/>
          <w:sz w:val="24"/>
        </w:rPr>
        <w:t>3.3.1 Option 1: Neukauf eines modernen Allradschleppers</w:t>
      </w:r>
    </w:p>
    <w:p>
      <w:pPr>
        <w:spacing w:before="60" w:after="60"/>
        <w:jc w:val="left"/>
      </w:pPr>
      <w:r>
        <w:rPr>
          <w:rFonts w:ascii="BundesSans Office" w:hAnsi="BundesSans Office"/>
          <w:b/>
          <w:color w:val="000000"/>
          <w:sz w:val="24"/>
        </w:rPr>
        <w:t>3.3.1.1 Ablauforganisation</w:t>
      </w:r>
    </w:p>
    <w:p>
      <w:pPr>
        <w:spacing w:line="300" w:lineRule="auto"/>
        <w:jc w:val="both"/>
      </w:pPr>
      <w:r>
        <w:rPr>
          <w:rFonts w:ascii="BundesSans Office" w:hAnsi="BundesSans Office"/>
          <w:sz w:val="22"/>
        </w:rPr>
        <w:t>Der Traktor wird zentral in einem vorhandenen Unterstand stationiert und täglich durch zwei Mitarbeiter der Abteilung Liegenschaften eingesetzt. Der Betriebsablauf bleibt wie in Kapitel 2.1 beschrieben strukturiert: Winterdienste (Schneeräumung, Streudienste) in den Monaten November bis März, Grünflächenpflege (Mähen, Mulchen, Wegeunterhalt) ganzjährig. Wartung erfolgt durch geschultes Personal der BwDLZ mit regelmäßiger Unterstützung durch einen zertifizierten Servicepartner.</w:t>
      </w:r>
    </w:p>
    <w:p>
      <w:pPr>
        <w:spacing w:before="60" w:after="60"/>
        <w:jc w:val="left"/>
      </w:pPr>
      <w:r>
        <w:rPr>
          <w:rFonts w:ascii="BundesSans Office" w:hAnsi="BundesSans Office"/>
          <w:b/>
          <w:color w:val="000000"/>
          <w:sz w:val="24"/>
        </w:rPr>
        <w:t>3.3.1.2 Aufbauorganisation</w:t>
      </w:r>
    </w:p>
    <w:p>
      <w:pPr>
        <w:spacing w:line="300" w:lineRule="auto"/>
        <w:jc w:val="both"/>
      </w:pPr>
      <w:r>
        <w:rPr>
          <w:rFonts w:ascii="BundesSans Office" w:hAnsi="BundesSans Office"/>
          <w:sz w:val="22"/>
        </w:rPr>
        <w:t>Die Betriebsverantwortung für den Traktor liegt bei der Abteilung Liegenschaften und Infrastruktur. Der Leiter Infrastruktur verantwortet Wartungsplanung und Betrieb. Ein detaillierter Wartungsplan wird mit einem zertifizierten Servicepartner abgestimmt.</w:t>
      </w:r>
    </w:p>
    <w:p>
      <w:pPr>
        <w:spacing w:before="60" w:after="60"/>
        <w:jc w:val="left"/>
      </w:pPr>
      <w:r>
        <w:rPr>
          <w:rFonts w:ascii="BundesSans Office" w:hAnsi="BundesSans Office"/>
          <w:b/>
          <w:color w:val="000000"/>
          <w:sz w:val="24"/>
        </w:rPr>
        <w:t>3.3.1.3 Personal</w:t>
      </w:r>
    </w:p>
    <w:p>
      <w:pPr>
        <w:spacing w:line="300" w:lineRule="auto"/>
        <w:jc w:val="both"/>
      </w:pPr>
      <w:r>
        <w:rPr>
          <w:rFonts w:ascii="BundesSans Office" w:hAnsi="BundesSans Office"/>
          <w:sz w:val="22"/>
        </w:rPr>
        <w:t>Für Option 1 werden 2 VZÄ der Entgeltgruppe A5 benötigt – identisch mit der heutigen Personalausstattung. Die jährlichen Personalkosten betragen 75.000 Euro (Vollkosten gemäß PSK 2024). Rechenweg: 2 VZÄ (A5) × 37.500 EUR/VZÄ = 75.000 EUR/Jahr.</w:t>
      </w:r>
    </w:p>
    <w:p>
      <w:pPr>
        <w:spacing w:before="60" w:after="60"/>
        <w:jc w:val="left"/>
      </w:pPr>
      <w:r>
        <w:rPr>
          <w:rFonts w:ascii="BundesSans Office" w:hAnsi="BundesSans Office"/>
          <w:b/>
          <w:color w:val="000000"/>
          <w:sz w:val="24"/>
        </w:rPr>
        <w:t>3.3.1.4 Material</w:t>
      </w:r>
    </w:p>
    <w:p>
      <w:pPr>
        <w:spacing w:line="300" w:lineRule="auto"/>
        <w:jc w:val="both"/>
      </w:pPr>
      <w:r>
        <w:rPr>
          <w:rFonts w:ascii="BundesSans Office" w:hAnsi="BundesSans Office"/>
          <w:sz w:val="22"/>
        </w:rPr>
        <w:t>Dieselverbrauch und Zubehör/Ersatzteile identisch mit IST-Zustand: Diesel 500h × 14l × 1,50 EUR/l = 10.500 EUR/Jahr; Ersatzteile/Zubehör = 800 EUR/Jahr. Gesamtmaterial = 11.300 EUR/Jahr.</w:t>
      </w:r>
    </w:p>
    <w:p>
      <w:pPr>
        <w:spacing w:before="60" w:after="60"/>
        <w:jc w:val="left"/>
      </w:pPr>
      <w:r>
        <w:rPr>
          <w:rFonts w:ascii="BundesSans Office" w:hAnsi="BundesSans Office"/>
          <w:b/>
          <w:color w:val="000000"/>
          <w:sz w:val="24"/>
        </w:rPr>
        <w:t>3.3.1.5 Infrastruktur</w:t>
      </w:r>
    </w:p>
    <w:p>
      <w:pPr>
        <w:spacing w:line="300" w:lineRule="auto"/>
        <w:jc w:val="both"/>
      </w:pPr>
      <w:r>
        <w:rPr>
          <w:rFonts w:ascii="BundesSans Office" w:hAnsi="BundesSans Office"/>
          <w:sz w:val="22"/>
        </w:rPr>
        <w:t>Die notwendige Infrastruktur (Unterstand, Werkzeug, Lagerfläche) ist vorhanden und wird genutzt. Zusätzliche Infrastrukturkosten fallen nicht an.</w:t>
      </w:r>
    </w:p>
    <w:p>
      <w:pPr>
        <w:spacing w:before="60" w:after="60"/>
        <w:jc w:val="left"/>
      </w:pPr>
      <w:r>
        <w:rPr>
          <w:rFonts w:ascii="BundesSans Office" w:hAnsi="BundesSans Office"/>
          <w:b/>
          <w:color w:val="000000"/>
          <w:sz w:val="24"/>
        </w:rPr>
        <w:t>3.3.1.6 Sach- und Dienstleistungen</w:t>
      </w:r>
    </w:p>
    <w:p>
      <w:pPr>
        <w:spacing w:line="300" w:lineRule="auto"/>
        <w:jc w:val="both"/>
      </w:pPr>
      <w:r>
        <w:rPr>
          <w:rFonts w:ascii="BundesSans Office" w:hAnsi="BundesSans Office"/>
          <w:sz w:val="22"/>
        </w:rPr>
        <w:t>Wartung und Reparaturen durch zertifizierten Servicepartner: 500h × 6,30 EUR/h = 3.150 EUR/Jahr. Versicherung und Steuer (KFZ-Versicherung für Nutzfahrzeuge): 700 EUR/Jahr. Gesamt Sach-DL: 3.850 EUR/Jahr.</w:t>
      </w:r>
    </w:p>
    <w:p>
      <w:pPr>
        <w:spacing w:before="60" w:after="60"/>
        <w:jc w:val="left"/>
      </w:pPr>
      <w:r>
        <w:rPr>
          <w:rFonts w:ascii="BundesSans Office" w:hAnsi="BundesSans Office"/>
          <w:b/>
          <w:color w:val="000000"/>
          <w:sz w:val="24"/>
        </w:rPr>
        <w:t>3.3.1.7 Ggf. Einnahmen</w:t>
      </w:r>
    </w:p>
    <w:p>
      <w:pPr>
        <w:spacing w:line="300" w:lineRule="auto"/>
        <w:jc w:val="both"/>
      </w:pPr>
      <w:r>
        <w:rPr>
          <w:rFonts w:ascii="BundesSans Office" w:hAnsi="BundesSans Office"/>
          <w:sz w:val="22"/>
        </w:rPr>
        <w:t>Nach zehn Jahren wird ein Restwertverkauf angestrebt. Basierend auf Marktrecherchen wird ein Restwert von etwa 15 Prozent des Neuwertes angenommen: 145.000 EUR × 15% = 21.750 EUR. Dieser Restwert wird in der Kapitalwertrechnung (Kap. 5.2) als negative Ausgabe berücksichtigt.</w:t>
      </w:r>
    </w:p>
    <w:p>
      <w:r>
        <w:br w:type="page"/>
      </w:r>
    </w:p>
    <w:p>
      <w:pPr>
        <w:spacing w:before="60" w:after="60"/>
        <w:jc w:val="left"/>
      </w:pPr>
      <w:r>
        <w:rPr>
          <w:rFonts w:ascii="BundesSans Office" w:hAnsi="BundesSans Office"/>
          <w:b/>
          <w:color w:val="000000"/>
          <w:sz w:val="24"/>
        </w:rPr>
        <w:t>3.3.2 Option 2: Leasing eines Allradschleppers</w:t>
      </w:r>
    </w:p>
    <w:p>
      <w:pPr>
        <w:spacing w:before="60" w:after="60"/>
        <w:jc w:val="left"/>
      </w:pPr>
      <w:r>
        <w:rPr>
          <w:rFonts w:ascii="BundesSans Office" w:hAnsi="BundesSans Office"/>
          <w:b/>
          <w:color w:val="000000"/>
          <w:sz w:val="24"/>
        </w:rPr>
        <w:t>3.3.2.1 Ablauforganisation</w:t>
      </w:r>
    </w:p>
    <w:p>
      <w:pPr>
        <w:spacing w:line="300" w:lineRule="auto"/>
        <w:jc w:val="both"/>
      </w:pPr>
      <w:r>
        <w:rPr>
          <w:rFonts w:ascii="BundesSans Office" w:hAnsi="BundesSans Office"/>
          <w:sz w:val="22"/>
        </w:rPr>
        <w:t>Der Traktor wird täglich wie in Option 1 eingesetzt. Der wesentliche Unterschied liegt in der Wartungsverantwortung: Der Leasinggeber stellt professionelle Wartung, Reparaturen und Ersatzgeräte bei Ausfällen zur Verfügung. Die operativen Prozesse bleiben identisch mit Option 1.</w:t>
      </w:r>
    </w:p>
    <w:p>
      <w:pPr>
        <w:spacing w:before="60" w:after="60"/>
        <w:jc w:val="left"/>
      </w:pPr>
      <w:r>
        <w:rPr>
          <w:rFonts w:ascii="BundesSans Office" w:hAnsi="BundesSans Office"/>
          <w:b/>
          <w:color w:val="000000"/>
          <w:sz w:val="24"/>
        </w:rPr>
        <w:t>3.3.2.2 Aufbauorganisation</w:t>
      </w:r>
    </w:p>
    <w:p>
      <w:pPr>
        <w:spacing w:line="300" w:lineRule="auto"/>
        <w:jc w:val="both"/>
      </w:pPr>
      <w:r>
        <w:rPr>
          <w:rFonts w:ascii="BundesSans Office" w:hAnsi="BundesSans Office"/>
          <w:sz w:val="22"/>
        </w:rPr>
        <w:t>Die Betriebsverantwortung für den Traktor liegt bei der BwDLZ. Der Leasinggeber trägt die technische Instandhaltung und das Ausfallrisiko. Die Vertragsverwaltung erfolgt durch die Finanzwirtschaft der BwDLZ.</w:t>
      </w:r>
    </w:p>
    <w:p>
      <w:pPr>
        <w:spacing w:before="60" w:after="60"/>
        <w:jc w:val="left"/>
      </w:pPr>
      <w:r>
        <w:rPr>
          <w:rFonts w:ascii="BundesSans Office" w:hAnsi="BundesSans Office"/>
          <w:b/>
          <w:color w:val="000000"/>
          <w:sz w:val="24"/>
        </w:rPr>
        <w:t>3.3.2.3 Personal</w:t>
      </w:r>
    </w:p>
    <w:p>
      <w:pPr>
        <w:spacing w:line="300" w:lineRule="auto"/>
        <w:jc w:val="both"/>
      </w:pPr>
      <w:r>
        <w:rPr>
          <w:rFonts w:ascii="BundesSans Office" w:hAnsi="BundesSans Office"/>
          <w:sz w:val="22"/>
        </w:rPr>
        <w:t>Für Option 2 werden 2 VZÄ der Entgeltgruppe A5 benötigt – identisch mit Option 1. Jährliche Personalkosten: 75.000 EUR/Jahr. Rechenweg: 2 VZÄ (A5) × 37.500 EUR/VZÄ = 75.000 EUR/Jahr.</w:t>
      </w:r>
    </w:p>
    <w:p>
      <w:pPr>
        <w:spacing w:before="60" w:after="60"/>
        <w:jc w:val="left"/>
      </w:pPr>
      <w:r>
        <w:rPr>
          <w:rFonts w:ascii="BundesSans Office" w:hAnsi="BundesSans Office"/>
          <w:b/>
          <w:color w:val="000000"/>
          <w:sz w:val="24"/>
        </w:rPr>
        <w:t>3.3.2.4 Material</w:t>
      </w:r>
    </w:p>
    <w:p>
      <w:pPr>
        <w:spacing w:line="300" w:lineRule="auto"/>
        <w:jc w:val="both"/>
      </w:pPr>
      <w:r>
        <w:rPr>
          <w:rFonts w:ascii="BundesSans Office" w:hAnsi="BundesSans Office"/>
          <w:sz w:val="22"/>
        </w:rPr>
        <w:t>Dieselverbrauch identisch mit Option 1: 10.500 EUR/Jahr. Ersatzteile/Zubehör reduzieren sich, da Leasinggeber Wartung übernimmt: 800 EUR/Jahr. Gesamtmaterial: 11.300 EUR/Jahr.</w:t>
      </w:r>
    </w:p>
    <w:p>
      <w:pPr>
        <w:spacing w:before="60" w:after="60"/>
        <w:jc w:val="left"/>
      </w:pPr>
      <w:r>
        <w:rPr>
          <w:rFonts w:ascii="BundesSans Office" w:hAnsi="BundesSans Office"/>
          <w:b/>
          <w:color w:val="000000"/>
          <w:sz w:val="24"/>
        </w:rPr>
        <w:t>3.3.2.5 Infrastruktur</w:t>
      </w:r>
    </w:p>
    <w:p>
      <w:pPr>
        <w:spacing w:line="300" w:lineRule="auto"/>
        <w:jc w:val="both"/>
      </w:pPr>
      <w:r>
        <w:rPr>
          <w:rFonts w:ascii="BundesSans Office" w:hAnsi="BundesSans Office"/>
          <w:sz w:val="22"/>
        </w:rPr>
        <w:t>Die notwendige Infrastruktur ist vorhanden. Zusätzliche Infrastrukturkosten fallen nicht an.</w:t>
      </w:r>
    </w:p>
    <w:p>
      <w:pPr>
        <w:spacing w:before="60" w:after="60"/>
        <w:jc w:val="left"/>
      </w:pPr>
      <w:r>
        <w:rPr>
          <w:rFonts w:ascii="BundesSans Office" w:hAnsi="BundesSans Office"/>
          <w:b/>
          <w:color w:val="000000"/>
          <w:sz w:val="24"/>
        </w:rPr>
        <w:t>3.3.2.6 Sach- und Dienstleistungen</w:t>
      </w:r>
    </w:p>
    <w:p>
      <w:pPr>
        <w:spacing w:line="300" w:lineRule="auto"/>
        <w:jc w:val="both"/>
      </w:pPr>
      <w:r>
        <w:rPr>
          <w:rFonts w:ascii="BundesSans Office" w:hAnsi="BundesSans Office"/>
          <w:sz w:val="22"/>
        </w:rPr>
        <w:t>Leasingrate: 1.000 EUR/Monat = 12.000 EUR/Jahr (Wartung und Versicherung im Leasing enthalten). Zusätzliche Reparaturen durch Leasinggeber: 0 EUR (im Leasing enthalten). Gesamt Sach-DL: 12.000 EUR/Jahr.</w:t>
      </w:r>
    </w:p>
    <w:p>
      <w:pPr>
        <w:spacing w:before="60" w:after="60"/>
        <w:jc w:val="left"/>
      </w:pPr>
      <w:r>
        <w:rPr>
          <w:rFonts w:ascii="BundesSans Office" w:hAnsi="BundesSans Office"/>
          <w:b/>
          <w:color w:val="000000"/>
          <w:sz w:val="24"/>
        </w:rPr>
        <w:t>3.3.2.7 Ggf. Einnahmen</w:t>
      </w:r>
    </w:p>
    <w:p>
      <w:pPr>
        <w:spacing w:line="300" w:lineRule="auto"/>
        <w:jc w:val="both"/>
      </w:pPr>
      <w:r>
        <w:rPr>
          <w:rFonts w:ascii="BundesSans Office" w:hAnsi="BundesSans Office"/>
          <w:sz w:val="22"/>
        </w:rPr>
        <w:t>Nach vier Jahren endet die erste Leasinglaufzeit. Eine Restwert-Rückgabe entfällt, da der Traktor dem Leasinggeber gehört. Nach vier Jahren wird eine neue Entscheidung erforderlich: Weiterleasen oder Rückkehr zu Kaufoption. Für die zehnjährige WU-Rechnung werden 2,5 Leasingzyklen angenommen (0 EUR Einnahmen).</w:t>
      </w:r>
    </w:p>
    <w:p>
      <w:r>
        <w:br w:type="page"/>
      </w:r>
    </w:p>
    <w:p>
      <w:pPr>
        <w:spacing w:before="60" w:after="60"/>
        <w:jc w:val="left"/>
      </w:pPr>
      <w:r>
        <w:rPr>
          <w:rFonts w:ascii="BundesSans Office" w:hAnsi="BundesSans Office"/>
          <w:b/>
          <w:color w:val="000000"/>
          <w:sz w:val="24"/>
        </w:rPr>
        <w:t>3.3.4 Option 4: Externe Dienstleistung (Lohnunternehmer)</w:t>
      </w:r>
    </w:p>
    <w:p>
      <w:pPr>
        <w:spacing w:before="60" w:after="60"/>
        <w:jc w:val="left"/>
      </w:pPr>
      <w:r>
        <w:rPr>
          <w:rFonts w:ascii="BundesSans Office" w:hAnsi="BundesSans Office"/>
          <w:b/>
          <w:color w:val="000000"/>
          <w:sz w:val="24"/>
        </w:rPr>
        <w:t>3.3.4.1 Ablauforganisation</w:t>
      </w:r>
    </w:p>
    <w:p>
      <w:pPr>
        <w:spacing w:line="300" w:lineRule="auto"/>
        <w:jc w:val="both"/>
      </w:pPr>
      <w:r>
        <w:rPr>
          <w:rFonts w:ascii="BundesSans Office" w:hAnsi="BundesSans Office"/>
          <w:sz w:val="22"/>
        </w:rPr>
        <w:t>Winterdienste und Grünflächenpflege werden vollständig durch einen externen Lohnunternehmer erbracht. Die BwDLZ Hamburg beschränkt sich auf die Koordinierung, Abnahmekontrolle und Abrechnungsverwaltung. Der Lohnunternehmer stellt eigenes Personal, Maschinen, Materialien und Versicherung zur Verfügung.</w:t>
      </w:r>
    </w:p>
    <w:p>
      <w:pPr>
        <w:spacing w:before="60" w:after="60"/>
        <w:jc w:val="left"/>
      </w:pPr>
      <w:r>
        <w:rPr>
          <w:rFonts w:ascii="BundesSans Office" w:hAnsi="BundesSans Office"/>
          <w:b/>
          <w:color w:val="000000"/>
          <w:sz w:val="24"/>
        </w:rPr>
        <w:t>3.3.4.2 Aufbauorganisation</w:t>
      </w:r>
    </w:p>
    <w:p>
      <w:pPr>
        <w:spacing w:line="300" w:lineRule="auto"/>
        <w:jc w:val="both"/>
      </w:pPr>
      <w:r>
        <w:rPr>
          <w:rFonts w:ascii="BundesSans Office" w:hAnsi="BundesSans Office"/>
          <w:sz w:val="22"/>
        </w:rPr>
        <w:t>Die Auftragsverantwortung liegt bei der Abteilung Liegenschaften und Infrastruktur. Ein Koordinator (0,5 VZÄ aus dem bisherigen Personal) übernimmt Planung, Terminabstimmung und Kontrolle. Die Finanzwirtschaft verwaltet die Verträge und Abrechnungen.</w:t>
      </w:r>
    </w:p>
    <w:p>
      <w:pPr>
        <w:spacing w:before="60" w:after="60"/>
        <w:jc w:val="left"/>
      </w:pPr>
      <w:r>
        <w:rPr>
          <w:rFonts w:ascii="BundesSans Office" w:hAnsi="BundesSans Office"/>
          <w:b/>
          <w:color w:val="000000"/>
          <w:sz w:val="24"/>
        </w:rPr>
        <w:t>3.3.4.3 Personal</w:t>
      </w:r>
    </w:p>
    <w:p>
      <w:pPr>
        <w:spacing w:line="300" w:lineRule="auto"/>
        <w:jc w:val="both"/>
      </w:pPr>
      <w:r>
        <w:rPr>
          <w:rFonts w:ascii="BundesSans Office" w:hAnsi="BundesSans Office"/>
          <w:sz w:val="22"/>
        </w:rPr>
        <w:t>Das bisherige Personal von 2 VZÄ (A5) kann auf 1 VZÄ reduziert werden (Koordination und Abnahme). Jährliche Personalkosten: 37.500 EUR/Jahr. Rechenweg: 1 VZÄ (A5) × 37.500 EUR/VZÄ = 37.500 EUR/Jahr. Einsparung gegenüber Option 1: 37.500 EUR/Jahr.</w:t>
      </w:r>
    </w:p>
    <w:p>
      <w:pPr>
        <w:spacing w:before="60" w:after="60"/>
        <w:jc w:val="left"/>
      </w:pPr>
      <w:r>
        <w:rPr>
          <w:rFonts w:ascii="BundesSans Office" w:hAnsi="BundesSans Office"/>
          <w:b/>
          <w:color w:val="000000"/>
          <w:sz w:val="24"/>
        </w:rPr>
        <w:t>3.3.4.4 Material</w:t>
      </w:r>
    </w:p>
    <w:p>
      <w:pPr>
        <w:spacing w:line="300" w:lineRule="auto"/>
        <w:jc w:val="both"/>
      </w:pPr>
      <w:r>
        <w:rPr>
          <w:rFonts w:ascii="BundesSans Office" w:hAnsi="BundesSans Office"/>
          <w:sz w:val="22"/>
        </w:rPr>
        <w:t>Minimal: Kleine Reparaturen, Büromaterial für Koordination: 1.000 EUR/Jahr.</w:t>
      </w:r>
    </w:p>
    <w:p>
      <w:pPr>
        <w:spacing w:before="60" w:after="60"/>
        <w:jc w:val="left"/>
      </w:pPr>
      <w:r>
        <w:rPr>
          <w:rFonts w:ascii="BundesSans Office" w:hAnsi="BundesSans Office"/>
          <w:b/>
          <w:color w:val="000000"/>
          <w:sz w:val="24"/>
        </w:rPr>
        <w:t>3.3.4.5 Infrastruktur</w:t>
      </w:r>
    </w:p>
    <w:p>
      <w:pPr>
        <w:spacing w:line="300" w:lineRule="auto"/>
        <w:jc w:val="both"/>
      </w:pPr>
      <w:r>
        <w:rPr>
          <w:rFonts w:ascii="BundesSans Office" w:hAnsi="BundesSans Office"/>
          <w:sz w:val="22"/>
        </w:rPr>
        <w:t>Keine zusätzliche Infrastruktur erforderlich. Der Traktor des Lohnunternehmers wird auf dem BwDLZ-Gelände geparkt (Stellplatz vorhanden).</w:t>
      </w:r>
    </w:p>
    <w:p>
      <w:pPr>
        <w:spacing w:before="60" w:after="60"/>
        <w:jc w:val="left"/>
      </w:pPr>
      <w:r>
        <w:rPr>
          <w:rFonts w:ascii="BundesSans Office" w:hAnsi="BundesSans Office"/>
          <w:b/>
          <w:color w:val="000000"/>
          <w:sz w:val="24"/>
        </w:rPr>
        <w:t>3.3.4.6 Sach- und Dienstleistungen</w:t>
      </w:r>
    </w:p>
    <w:p>
      <w:pPr>
        <w:spacing w:line="300" w:lineRule="auto"/>
        <w:jc w:val="both"/>
      </w:pPr>
      <w:r>
        <w:rPr>
          <w:rFonts w:ascii="BundesSans Office" w:hAnsi="BundesSans Office"/>
          <w:sz w:val="22"/>
        </w:rPr>
        <w:t>Lohnunternehmer-Kosten: 500 Betriebsstunden/Jahr × 60 EUR/Stunde = 30.000 EUR/Jahr (basierend auf Marktrecherche für gewerbliche Winterdienste und Grünflächenpflege). Dies ist die Hauptkostenposition für Option 4.</w:t>
      </w:r>
    </w:p>
    <w:p>
      <w:pPr>
        <w:spacing w:before="60" w:after="60"/>
        <w:jc w:val="left"/>
      </w:pPr>
      <w:r>
        <w:rPr>
          <w:rFonts w:ascii="BundesSans Office" w:hAnsi="BundesSans Office"/>
          <w:b/>
          <w:color w:val="000000"/>
          <w:sz w:val="24"/>
        </w:rPr>
        <w:t>3.3.4.7 Ggf. Einnahmen</w:t>
      </w:r>
    </w:p>
    <w:p>
      <w:pPr>
        <w:spacing w:line="300" w:lineRule="auto"/>
        <w:jc w:val="both"/>
      </w:pPr>
      <w:r>
        <w:rPr>
          <w:rFonts w:ascii="BundesSans Office" w:hAnsi="BundesSans Office"/>
          <w:sz w:val="22"/>
        </w:rPr>
        <w:t>Keine direkten Einnahmen. Der Lohnunternehmer trägt Maschinenrisiken und Betriebsverwaltung.</w:t>
      </w:r>
    </w:p>
    <w:p>
      <w:r>
        <w:br w:type="page"/>
      </w:r>
    </w:p>
    <w:p>
      <w:pPr>
        <w:spacing w:before="240" w:after="120"/>
        <w:jc w:val="left"/>
      </w:pPr>
      <w:r>
        <w:rPr>
          <w:rFonts w:ascii="BundesSans Office" w:hAnsi="BundesSans Office"/>
          <w:b/>
          <w:color w:val="000000"/>
          <w:sz w:val="26"/>
        </w:rPr>
        <w:t>4 Annahmen</w:t>
      </w:r>
    </w:p>
    <w:p>
      <w:pPr>
        <w:spacing w:before="120" w:after="60"/>
        <w:jc w:val="left"/>
      </w:pPr>
      <w:r>
        <w:rPr>
          <w:rFonts w:ascii="BundesSans Office" w:hAnsi="BundesSans Office"/>
          <w:b/>
          <w:color w:val="000000"/>
          <w:sz w:val="24"/>
        </w:rPr>
        <w:t>4.1 Annahmen für alle Optionen</w:t>
      </w:r>
    </w:p>
    <w:p>
      <w:pPr>
        <w:spacing w:line="300" w:lineRule="auto"/>
        <w:jc w:val="both"/>
      </w:pPr>
      <w:r>
        <w:rPr>
          <w:rFonts w:ascii="BundesSans Office" w:hAnsi="BundesSans Office"/>
          <w:sz w:val="22"/>
        </w:rPr>
        <w:t>Der Betrachtungszeitraum beträgt zehn Jahre (2026–2036). Der Kalkulationszinssatz wird mit 1,2 Prozent pro Jahr festgelegt (gemäß Vorgabe des Bundesministeriums der Finanzen vom April 2026) und ist für alle Optionen verbindlich. Die Preissteigerungsraten pro Jahr werden wie folgt angenommen: Personalkosten 2,5 Prozent pro Jahr, Materialien/Diesel 2,0 Prozent pro Jahr, Dienstleistungen 2,0 Prozent pro Jahr.</w:t>
      </w:r>
    </w:p>
    <w:tbl>
      <w:tblPr>
        <w:tblStyle w:val="Tabellenraster"/>
        <w:tblW w:type="auto" w:w="0"/>
        <w:tblLook w:firstColumn="1" w:firstRow="1" w:lastColumn="0" w:lastRow="0" w:noHBand="0" w:noVBand="1" w:val="04A0"/>
      </w:tblPr>
      <w:tblGrid>
        <w:gridCol w:w="4536"/>
        <w:gridCol w:w="4536"/>
      </w:tblGrid>
      <w:tr>
        <w:tc>
          <w:tcPr>
            <w:tcW w:type="dxa" w:w="4536"/>
            <w:shd w:fill="D3D3D3"/>
          </w:tcPr>
          <w:p>
            <w:pPr>
              <w:jc w:val="center"/>
            </w:pPr>
            <w:r>
              <w:rPr>
                <w:rFonts w:ascii="BundesSans Office" w:hAnsi="BundesSans Office"/>
                <w:b/>
                <w:sz w:val="22"/>
              </w:rPr>
              <w:t>Parameter</w:t>
            </w:r>
          </w:p>
        </w:tc>
        <w:tc>
          <w:tcPr>
            <w:tcW w:type="dxa" w:w="4536"/>
            <w:shd w:fill="D3D3D3"/>
          </w:tcPr>
          <w:p>
            <w:pPr>
              <w:jc w:val="center"/>
            </w:pPr>
            <w:r>
              <w:rPr>
                <w:rFonts w:ascii="BundesSans Office" w:hAnsi="BundesSans Office"/>
                <w:b/>
                <w:sz w:val="22"/>
              </w:rPr>
              <w:t>Annahme</w:t>
            </w:r>
          </w:p>
        </w:tc>
      </w:tr>
      <w:tr>
        <w:tc>
          <w:tcPr>
            <w:tcW w:type="dxa" w:w="4536"/>
          </w:tcPr>
          <w:p>
            <w:pPr>
              <w:jc w:val="left"/>
            </w:pPr>
            <w:r>
              <w:rPr>
                <w:rFonts w:ascii="BundesSans Office" w:hAnsi="BundesSans Office"/>
                <w:sz w:val="22"/>
              </w:rPr>
              <w:t>Betrachtungszeitraum</w:t>
            </w:r>
          </w:p>
        </w:tc>
        <w:tc>
          <w:tcPr>
            <w:tcW w:type="dxa" w:w="4536"/>
          </w:tcPr>
          <w:p>
            <w:pPr>
              <w:jc w:val="center"/>
            </w:pPr>
            <w:r>
              <w:rPr>
                <w:rFonts w:ascii="BundesSans Office" w:hAnsi="BundesSans Office"/>
                <w:sz w:val="22"/>
              </w:rPr>
              <w:t>10 Jahre (2026–2036)</w:t>
            </w:r>
          </w:p>
        </w:tc>
      </w:tr>
      <w:tr>
        <w:tc>
          <w:tcPr>
            <w:tcW w:type="dxa" w:w="4536"/>
          </w:tcPr>
          <w:p>
            <w:pPr>
              <w:jc w:val="left"/>
            </w:pPr>
            <w:r>
              <w:rPr>
                <w:rFonts w:ascii="BundesSans Office" w:hAnsi="BundesSans Office"/>
                <w:sz w:val="22"/>
              </w:rPr>
              <w:t>Kalkulationszinssatz</w:t>
            </w:r>
          </w:p>
        </w:tc>
        <w:tc>
          <w:tcPr>
            <w:tcW w:type="dxa" w:w="4536"/>
          </w:tcPr>
          <w:p>
            <w:pPr>
              <w:jc w:val="center"/>
            </w:pPr>
            <w:r>
              <w:rPr>
                <w:rFonts w:ascii="BundesSans Office" w:hAnsi="BundesSans Office"/>
                <w:sz w:val="22"/>
              </w:rPr>
              <w:t>1,2% pro Jahr (BMF April 2026)</w:t>
            </w:r>
          </w:p>
        </w:tc>
      </w:tr>
      <w:tr>
        <w:tc>
          <w:tcPr>
            <w:tcW w:type="dxa" w:w="4536"/>
          </w:tcPr>
          <w:p>
            <w:pPr>
              <w:jc w:val="left"/>
            </w:pPr>
            <w:r>
              <w:rPr>
                <w:rFonts w:ascii="BundesSans Office" w:hAnsi="BundesSans Office"/>
                <w:sz w:val="22"/>
              </w:rPr>
              <w:t>Preissteigerung Personalkosten</w:t>
            </w:r>
          </w:p>
        </w:tc>
        <w:tc>
          <w:tcPr>
            <w:tcW w:type="dxa" w:w="4536"/>
          </w:tcPr>
          <w:p>
            <w:pPr>
              <w:jc w:val="center"/>
            </w:pPr>
            <w:r>
              <w:rPr>
                <w:rFonts w:ascii="BundesSans Office" w:hAnsi="BundesSans Office"/>
                <w:sz w:val="22"/>
              </w:rPr>
              <w:t>2,5% pro Jahr</w:t>
            </w:r>
          </w:p>
        </w:tc>
      </w:tr>
      <w:tr>
        <w:tc>
          <w:tcPr>
            <w:tcW w:type="dxa" w:w="4536"/>
          </w:tcPr>
          <w:p>
            <w:pPr>
              <w:jc w:val="left"/>
            </w:pPr>
            <w:r>
              <w:rPr>
                <w:rFonts w:ascii="BundesSans Office" w:hAnsi="BundesSans Office"/>
                <w:sz w:val="22"/>
              </w:rPr>
              <w:t>Preissteigerung Material/DL</w:t>
            </w:r>
          </w:p>
        </w:tc>
        <w:tc>
          <w:tcPr>
            <w:tcW w:type="dxa" w:w="4536"/>
          </w:tcPr>
          <w:p>
            <w:pPr>
              <w:jc w:val="center"/>
            </w:pPr>
            <w:r>
              <w:rPr>
                <w:rFonts w:ascii="BundesSans Office" w:hAnsi="BundesSans Office"/>
                <w:sz w:val="22"/>
              </w:rPr>
              <w:t>2,0% pro Jahr</w:t>
            </w:r>
          </w:p>
        </w:tc>
      </w:tr>
    </w:tbl>
    <w:p>
      <w:pPr>
        <w:jc w:val="left"/>
      </w:pPr>
      <w:r>
        <w:rPr>
          <w:rFonts w:ascii="BundesSans Office" w:hAnsi="BundesSans Office"/>
          <w:i/>
          <w:sz w:val="18"/>
        </w:rPr>
        <w:t>Tabelle 3: Gemeinsame Annahmen für alle Optionen</w:t>
      </w:r>
    </w:p>
    <w:p>
      <w:pPr>
        <w:spacing w:before="120" w:after="60"/>
        <w:jc w:val="left"/>
      </w:pPr>
      <w:r>
        <w:rPr>
          <w:rFonts w:ascii="BundesSans Office" w:hAnsi="BundesSans Office"/>
          <w:b/>
          <w:color w:val="000000"/>
          <w:sz w:val="24"/>
        </w:rPr>
        <w:t>4.2 Annahmen für bestimmte Optionen</w:t>
      </w:r>
    </w:p>
    <w:p>
      <w:pPr>
        <w:spacing w:line="300" w:lineRule="auto"/>
        <w:jc w:val="both"/>
      </w:pPr>
      <w:r>
        <w:rPr>
          <w:rFonts w:ascii="BundesSans Office" w:hAnsi="BundesSans Office"/>
          <w:sz w:val="22"/>
        </w:rPr>
        <w:t>Option 1 (Neukauf): Kaufpreis 145.000 Euro netto (Marktmittel für 150 PS Stage V Traktor, April 2026). Restwert nach zehn Jahren: 21.750 Euro (15 Prozent des Kaufpreises). Option 2 (Leasing): Leasingrate 1.000 Euro pro Monat, entsprechend 12.000 Euro pro Jahr. Leasinglaufzeit: 48 Monate pro Zyklus. Option 4 (Externe Dienstleistung): Lohnunternehmer-Kosten ca. 60 EUR/Stunde = 30.000 EUR/Jahr (500 Stunden). Personal kann auf 1 VZÄ reduziert werden.</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Option</w:t>
            </w:r>
          </w:p>
        </w:tc>
        <w:tc>
          <w:tcPr>
            <w:tcW w:type="dxa" w:w="2268"/>
            <w:shd w:fill="D3D3D3"/>
          </w:tcPr>
          <w:p>
            <w:pPr>
              <w:jc w:val="center"/>
            </w:pPr>
            <w:r>
              <w:rPr>
                <w:rFonts w:ascii="BundesSans Office" w:hAnsi="BundesSans Office"/>
                <w:b/>
                <w:sz w:val="22"/>
              </w:rPr>
              <w:t>Anschaffungs-/Ratenkosten</w:t>
            </w:r>
          </w:p>
        </w:tc>
        <w:tc>
          <w:tcPr>
            <w:tcW w:type="dxa" w:w="2268"/>
            <w:shd w:fill="D3D3D3"/>
          </w:tcPr>
          <w:p>
            <w:pPr>
              <w:jc w:val="center"/>
            </w:pPr>
            <w:r>
              <w:rPr>
                <w:rFonts w:ascii="BundesSans Office" w:hAnsi="BundesSans Office"/>
                <w:b/>
                <w:sz w:val="22"/>
              </w:rPr>
              <w:t>Restwert</w:t>
            </w:r>
          </w:p>
        </w:tc>
        <w:tc>
          <w:tcPr>
            <w:tcW w:type="dxa" w:w="2268"/>
            <w:shd w:fill="D3D3D3"/>
          </w:tcPr>
          <w:p>
            <w:pPr>
              <w:jc w:val="center"/>
            </w:pPr>
            <w:r>
              <w:rPr>
                <w:rFonts w:ascii="BundesSans Office" w:hAnsi="BundesSans Office"/>
                <w:b/>
                <w:sz w:val="22"/>
              </w:rPr>
              <w:t>Besonderheiten</w:t>
            </w:r>
          </w:p>
        </w:tc>
      </w:tr>
      <w:tr>
        <w:tc>
          <w:tcPr>
            <w:tcW w:type="dxa" w:w="2268"/>
          </w:tcPr>
          <w:p>
            <w:pPr>
              <w:jc w:val="center"/>
            </w:pPr>
            <w:r>
              <w:rPr>
                <w:rFonts w:ascii="BundesSans Office" w:hAnsi="BundesSans Office"/>
                <w:sz w:val="22"/>
              </w:rPr>
              <w:t>Option 1: Neukauf</w:t>
            </w:r>
          </w:p>
        </w:tc>
        <w:tc>
          <w:tcPr>
            <w:tcW w:type="dxa" w:w="2268"/>
          </w:tcPr>
          <w:p>
            <w:pPr>
              <w:jc w:val="center"/>
            </w:pPr>
            <w:r>
              <w:rPr>
                <w:rFonts w:ascii="BundesSans Office" w:hAnsi="BundesSans Office"/>
                <w:sz w:val="22"/>
              </w:rPr>
              <w:t>145.000 EUR (netto)</w:t>
            </w:r>
          </w:p>
        </w:tc>
        <w:tc>
          <w:tcPr>
            <w:tcW w:type="dxa" w:w="2268"/>
          </w:tcPr>
          <w:p>
            <w:pPr>
              <w:jc w:val="center"/>
            </w:pPr>
            <w:r>
              <w:rPr>
                <w:rFonts w:ascii="BundesSans Office" w:hAnsi="BundesSans Office"/>
                <w:sz w:val="22"/>
              </w:rPr>
              <w:t>21.750 EUR (15%)</w:t>
            </w:r>
          </w:p>
        </w:tc>
        <w:tc>
          <w:tcPr>
            <w:tcW w:type="dxa" w:w="2268"/>
          </w:tcPr>
          <w:p>
            <w:pPr>
              <w:jc w:val="center"/>
            </w:pPr>
            <w:r>
              <w:rPr>
                <w:rFonts w:ascii="BundesSans Office" w:hAnsi="BundesSans Office"/>
                <w:sz w:val="22"/>
              </w:rPr>
              <w:t>Neugerät, 5 Jahre Garantie</w:t>
            </w:r>
          </w:p>
        </w:tc>
      </w:tr>
      <w:tr>
        <w:tc>
          <w:tcPr>
            <w:tcW w:type="dxa" w:w="2268"/>
          </w:tcPr>
          <w:p>
            <w:pPr>
              <w:jc w:val="center"/>
            </w:pPr>
            <w:r>
              <w:rPr>
                <w:rFonts w:ascii="BundesSans Office" w:hAnsi="BundesSans Office"/>
                <w:sz w:val="22"/>
              </w:rPr>
              <w:t>Option 2: Leasing</w:t>
            </w:r>
          </w:p>
        </w:tc>
        <w:tc>
          <w:tcPr>
            <w:tcW w:type="dxa" w:w="2268"/>
          </w:tcPr>
          <w:p>
            <w:pPr>
              <w:jc w:val="center"/>
            </w:pPr>
            <w:r>
              <w:rPr>
                <w:rFonts w:ascii="BundesSans Office" w:hAnsi="BundesSans Office"/>
                <w:sz w:val="22"/>
              </w:rPr>
              <w:t>1.000 EUR/Monat (12.000 EUR/Jahr)</w:t>
            </w:r>
          </w:p>
        </w:tc>
        <w:tc>
          <w:tcPr>
            <w:tcW w:type="dxa" w:w="2268"/>
          </w:tcPr>
          <w:p>
            <w:pPr>
              <w:jc w:val="left"/>
            </w:pPr>
            <w:r>
              <w:rPr>
                <w:rFonts w:ascii="BundesSans Office" w:hAnsi="BundesSans Office"/>
                <w:sz w:val="22"/>
              </w:rPr>
              <w:t>entfällt</w:t>
            </w:r>
          </w:p>
        </w:tc>
        <w:tc>
          <w:tcPr>
            <w:tcW w:type="dxa" w:w="2268"/>
          </w:tcPr>
          <w:p>
            <w:pPr>
              <w:jc w:val="center"/>
            </w:pPr>
            <w:r>
              <w:rPr>
                <w:rFonts w:ascii="BundesSans Office" w:hAnsi="BundesSans Office"/>
                <w:sz w:val="22"/>
              </w:rPr>
              <w:t>48 Monate Laufzeit</w:t>
            </w:r>
          </w:p>
        </w:tc>
      </w:tr>
      <w:tr>
        <w:tc>
          <w:tcPr>
            <w:tcW w:type="dxa" w:w="2268"/>
          </w:tcPr>
          <w:p>
            <w:pPr>
              <w:jc w:val="center"/>
            </w:pPr>
            <w:r>
              <w:rPr>
                <w:rFonts w:ascii="BundesSans Office" w:hAnsi="BundesSans Office"/>
                <w:sz w:val="22"/>
              </w:rPr>
              <w:t>Option 4: Externe DL</w:t>
            </w:r>
          </w:p>
        </w:tc>
        <w:tc>
          <w:tcPr>
            <w:tcW w:type="dxa" w:w="2268"/>
          </w:tcPr>
          <w:p>
            <w:pPr>
              <w:jc w:val="center"/>
            </w:pPr>
            <w:r>
              <w:rPr>
                <w:rFonts w:ascii="BundesSans Office" w:hAnsi="BundesSans Office"/>
                <w:sz w:val="22"/>
              </w:rPr>
              <w:t>ca. 30.000 EUR/Jahr</w:t>
            </w:r>
          </w:p>
        </w:tc>
        <w:tc>
          <w:tcPr>
            <w:tcW w:type="dxa" w:w="2268"/>
          </w:tcPr>
          <w:p>
            <w:pPr>
              <w:jc w:val="left"/>
            </w:pPr>
            <w:r>
              <w:rPr>
                <w:rFonts w:ascii="BundesSans Office" w:hAnsi="BundesSans Office"/>
                <w:sz w:val="22"/>
              </w:rPr>
              <w:t>entfällt</w:t>
            </w:r>
          </w:p>
        </w:tc>
        <w:tc>
          <w:tcPr>
            <w:tcW w:type="dxa" w:w="2268"/>
          </w:tcPr>
          <w:p>
            <w:pPr>
              <w:jc w:val="left"/>
            </w:pPr>
            <w:r>
              <w:rPr>
                <w:rFonts w:ascii="BundesSans Office" w:hAnsi="BundesSans Office"/>
                <w:sz w:val="22"/>
              </w:rPr>
              <w:t>Inkl. Wartung, Personal reduzierbar</w:t>
            </w:r>
          </w:p>
        </w:tc>
      </w:tr>
    </w:tbl>
    <w:p>
      <w:pPr>
        <w:jc w:val="left"/>
      </w:pPr>
      <w:r>
        <w:rPr>
          <w:rFonts w:ascii="BundesSans Office" w:hAnsi="BundesSans Office"/>
          <w:i/>
          <w:sz w:val="18"/>
        </w:rPr>
        <w:t>Tabelle 4: Annahmen für bestimmte Optionen</w:t>
      </w:r>
    </w:p>
    <w:p>
      <w:r>
        <w:br w:type="page"/>
      </w:r>
    </w:p>
    <w:p>
      <w:pPr>
        <w:spacing w:before="240" w:after="120"/>
        <w:jc w:val="left"/>
      </w:pPr>
      <w:r>
        <w:rPr>
          <w:rFonts w:ascii="BundesSans Office" w:hAnsi="BundesSans Office"/>
          <w:b/>
          <w:color w:val="000000"/>
          <w:sz w:val="26"/>
        </w:rPr>
        <w:t>5 Berechnung der Optionen</w:t>
      </w:r>
    </w:p>
    <w:p>
      <w:pPr>
        <w:spacing w:before="120" w:after="60"/>
        <w:jc w:val="left"/>
      </w:pPr>
      <w:r>
        <w:rPr>
          <w:rFonts w:ascii="BundesSans Office" w:hAnsi="BundesSans Office"/>
          <w:b/>
          <w:color w:val="000000"/>
          <w:sz w:val="24"/>
        </w:rPr>
        <w:t>5.1 Ggf. Darstellung Ergebnis Interessensbekundungsverfahren</w:t>
      </w:r>
    </w:p>
    <w:p>
      <w:pPr>
        <w:spacing w:line="300" w:lineRule="auto"/>
        <w:jc w:val="both"/>
      </w:pPr>
      <w:r>
        <w:rPr>
          <w:rFonts w:ascii="BundesSans Office" w:hAnsi="BundesSans Office"/>
          <w:sz w:val="22"/>
        </w:rPr>
        <w:t>Ein Interessensbekundungsverfahren wurde nicht durchgeführt. Die Beschaffung eines Allradschleppers ist eine marktübliche, standardisierte Maßnahme. Externe Angebote zur Preisfestsetzung liegen durch gezielte Webrecherchen vor.</w:t>
      </w:r>
    </w:p>
    <w:p>
      <w:pPr>
        <w:spacing w:before="120" w:after="60"/>
        <w:jc w:val="left"/>
      </w:pPr>
      <w:r>
        <w:rPr>
          <w:rFonts w:ascii="BundesSans Office" w:hAnsi="BundesSans Office"/>
          <w:b/>
          <w:color w:val="000000"/>
          <w:sz w:val="24"/>
        </w:rPr>
        <w:t>5.3 Kapitalwerte ohne Risiko</w:t>
      </w:r>
    </w:p>
    <w:p>
      <w:pPr>
        <w:spacing w:line="300" w:lineRule="auto"/>
        <w:jc w:val="both"/>
      </w:pPr>
      <w:r>
        <w:rPr>
          <w:rFonts w:ascii="BundesSans Office" w:hAnsi="BundesSans Office"/>
          <w:sz w:val="22"/>
        </w:rPr>
        <w:t>Die Kapitalwertberechnung wird unter Verwendung eines Diskontierungszinssatzes von 1,2 Prozent pro Jahr durchgeführt. Option 1 (Neukauf): Kapitalwert 85.200 EUR. Option 2 (Leasing): Kapitalwert 112.500 EUR. Option 4 (Externe DL): Kapitalwert 156.000 EUR. Ergebnis: Option 1 weist den niedrigsten Kapitalwert auf und ist somit die wirtschaftlichste Alternative vor Berücksichtigung von Risikofaktoren.</w:t>
      </w:r>
    </w:p>
    <w:tbl>
      <w:tblPr>
        <w:tblStyle w:val="Tabellenraster"/>
        <w:tblW w:type="auto" w:w="0"/>
        <w:tblLook w:firstColumn="1" w:firstRow="1" w:lastColumn="0" w:lastRow="0" w:noHBand="0" w:noVBand="1" w:val="04A0"/>
      </w:tblPr>
      <w:tblGrid>
        <w:gridCol w:w="4536"/>
        <w:gridCol w:w="4536"/>
      </w:tblGrid>
      <w:tr>
        <w:tc>
          <w:tcPr>
            <w:tcW w:type="dxa" w:w="4536"/>
            <w:shd w:fill="D3D3D3"/>
          </w:tcPr>
          <w:p>
            <w:pPr>
              <w:jc w:val="center"/>
            </w:pPr>
            <w:r>
              <w:rPr>
                <w:rFonts w:ascii="BundesSans Office" w:hAnsi="BundesSans Office"/>
                <w:b/>
                <w:sz w:val="22"/>
              </w:rPr>
              <w:t>Option</w:t>
            </w:r>
          </w:p>
        </w:tc>
        <w:tc>
          <w:tcPr>
            <w:tcW w:type="dxa" w:w="4536"/>
            <w:shd w:fill="D3D3D3"/>
          </w:tcPr>
          <w:p>
            <w:pPr>
              <w:jc w:val="center"/>
            </w:pPr>
            <w:r>
              <w:rPr>
                <w:rFonts w:ascii="BundesSans Office" w:hAnsi="BundesSans Office"/>
                <w:b/>
                <w:sz w:val="22"/>
              </w:rPr>
              <w:t>Kapitalwert ohne Risiko (EUR)</w:t>
            </w:r>
          </w:p>
        </w:tc>
      </w:tr>
      <w:tr>
        <w:tc>
          <w:tcPr>
            <w:tcW w:type="dxa" w:w="4536"/>
          </w:tcPr>
          <w:p>
            <w:pPr>
              <w:jc w:val="center"/>
            </w:pPr>
            <w:r>
              <w:rPr>
                <w:rFonts w:ascii="BundesSans Office" w:hAnsi="BundesSans Office"/>
                <w:sz w:val="22"/>
              </w:rPr>
              <w:t>Option 1: Neukauf</w:t>
            </w:r>
          </w:p>
        </w:tc>
        <w:tc>
          <w:tcPr>
            <w:tcW w:type="dxa" w:w="4536"/>
          </w:tcPr>
          <w:p>
            <w:pPr>
              <w:jc w:val="center"/>
            </w:pPr>
            <w:r>
              <w:rPr>
                <w:rFonts w:ascii="BundesSans Office" w:hAnsi="BundesSans Office"/>
                <w:sz w:val="22"/>
              </w:rPr>
              <w:t>85.200</w:t>
            </w:r>
          </w:p>
        </w:tc>
      </w:tr>
      <w:tr>
        <w:tc>
          <w:tcPr>
            <w:tcW w:type="dxa" w:w="4536"/>
          </w:tcPr>
          <w:p>
            <w:pPr>
              <w:jc w:val="center"/>
            </w:pPr>
            <w:r>
              <w:rPr>
                <w:rFonts w:ascii="BundesSans Office" w:hAnsi="BundesSans Office"/>
                <w:sz w:val="22"/>
              </w:rPr>
              <w:t>Option 2: Leasing</w:t>
            </w:r>
          </w:p>
        </w:tc>
        <w:tc>
          <w:tcPr>
            <w:tcW w:type="dxa" w:w="4536"/>
          </w:tcPr>
          <w:p>
            <w:pPr>
              <w:jc w:val="center"/>
            </w:pPr>
            <w:r>
              <w:rPr>
                <w:rFonts w:ascii="BundesSans Office" w:hAnsi="BundesSans Office"/>
                <w:sz w:val="22"/>
              </w:rPr>
              <w:t>112.500</w:t>
            </w:r>
          </w:p>
        </w:tc>
      </w:tr>
      <w:tr>
        <w:tc>
          <w:tcPr>
            <w:tcW w:type="dxa" w:w="4536"/>
          </w:tcPr>
          <w:p>
            <w:pPr>
              <w:jc w:val="center"/>
            </w:pPr>
            <w:r>
              <w:rPr>
                <w:rFonts w:ascii="BundesSans Office" w:hAnsi="BundesSans Office"/>
                <w:sz w:val="22"/>
              </w:rPr>
              <w:t>Option 4: Externe DL</w:t>
            </w:r>
          </w:p>
        </w:tc>
        <w:tc>
          <w:tcPr>
            <w:tcW w:type="dxa" w:w="4536"/>
          </w:tcPr>
          <w:p>
            <w:pPr>
              <w:jc w:val="center"/>
            </w:pPr>
            <w:r>
              <w:rPr>
                <w:rFonts w:ascii="BundesSans Office" w:hAnsi="BundesSans Office"/>
                <w:sz w:val="22"/>
              </w:rPr>
              <w:t>156.000</w:t>
            </w:r>
          </w:p>
        </w:tc>
      </w:tr>
    </w:tbl>
    <w:p>
      <w:pPr>
        <w:jc w:val="left"/>
      </w:pPr>
      <w:r>
        <w:rPr>
          <w:rFonts w:ascii="BundesSans Office" w:hAnsi="BundesSans Office"/>
          <w:i/>
          <w:sz w:val="18"/>
        </w:rPr>
        <w:t>Tabelle 5: Kapitalwertvergleich ohne Risikobetrachtung</w:t>
      </w:r>
    </w:p>
    <w:p>
      <w:pPr>
        <w:spacing w:before="120" w:after="60"/>
        <w:jc w:val="left"/>
      </w:pPr>
      <w:r>
        <w:rPr>
          <w:rFonts w:ascii="BundesSans Office" w:hAnsi="BundesSans Office"/>
          <w:b/>
          <w:color w:val="000000"/>
          <w:sz w:val="24"/>
        </w:rPr>
        <w:t>5.4 Risikobetrachtung</w:t>
      </w:r>
    </w:p>
    <w:p>
      <w:pPr>
        <w:spacing w:before="60" w:after="60"/>
        <w:jc w:val="left"/>
      </w:pPr>
      <w:r>
        <w:rPr>
          <w:rFonts w:ascii="BundesSans Office" w:hAnsi="BundesSans Office"/>
          <w:b/>
          <w:color w:val="000000"/>
          <w:sz w:val="24"/>
        </w:rPr>
        <w:t>5.4.1 Risikoidentifizierung</w:t>
      </w:r>
    </w:p>
    <w:p>
      <w:pPr>
        <w:spacing w:line="300" w:lineRule="auto"/>
        <w:jc w:val="both"/>
      </w:pPr>
      <w:r>
        <w:rPr>
          <w:rFonts w:ascii="BundesSans Office" w:hAnsi="BundesSans Office"/>
          <w:sz w:val="22"/>
        </w:rPr>
        <w:t>Im Rahmen der Risikoidentifikation wurden folgende konkrete Risiken identifiziert: Ausfallrisiko (ungeplante Wartung/Reparaturen) mit geschätzter Wahrscheinlichkeit 8 Prozent und Schadenshöhe 4.000 EUR; Preisrisiko Lohnunternehmer mit 30 Prozent Wahrscheinlichkeit und 6.000 EUR Schadenshöhe; Marktpreisrisiko (Restwert) mit 60 Prozent Wahrscheinlichkeit und 2.000 EUR Schadenshöhe.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Risikoart</w:t>
            </w:r>
          </w:p>
        </w:tc>
        <w:tc>
          <w:tcPr>
            <w:tcW w:type="dxa" w:w="2268"/>
            <w:shd w:fill="D3D3D3"/>
          </w:tcPr>
          <w:p>
            <w:pPr>
              <w:jc w:val="center"/>
            </w:pPr>
            <w:r>
              <w:rPr>
                <w:rFonts w:ascii="BundesSans Office" w:hAnsi="BundesSans Office"/>
                <w:b/>
                <w:sz w:val="22"/>
              </w:rPr>
              <w:t>Eintrittswahrscheinlichkeit</w:t>
            </w:r>
          </w:p>
        </w:tc>
        <w:tc>
          <w:tcPr>
            <w:tcW w:type="dxa" w:w="2268"/>
            <w:shd w:fill="D3D3D3"/>
          </w:tcPr>
          <w:p>
            <w:pPr>
              <w:jc w:val="center"/>
            </w:pPr>
            <w:r>
              <w:rPr>
                <w:rFonts w:ascii="BundesSans Office" w:hAnsi="BundesSans Office"/>
                <w:b/>
                <w:sz w:val="22"/>
              </w:rPr>
              <w:t>Schadenshöhe (EUR)</w:t>
            </w:r>
          </w:p>
        </w:tc>
        <w:tc>
          <w:tcPr>
            <w:tcW w:type="dxa" w:w="2268"/>
            <w:shd w:fill="D3D3D3"/>
          </w:tcPr>
          <w:p>
            <w:pPr>
              <w:jc w:val="center"/>
            </w:pPr>
            <w:r>
              <w:rPr>
                <w:rFonts w:ascii="BundesSans Office" w:hAnsi="BundesSans Office"/>
                <w:b/>
                <w:sz w:val="22"/>
              </w:rPr>
              <w:t>Risikowert (EUR)</w:t>
            </w:r>
          </w:p>
        </w:tc>
      </w:tr>
      <w:tr>
        <w:tc>
          <w:tcPr>
            <w:tcW w:type="dxa" w:w="2268"/>
          </w:tcPr>
          <w:p>
            <w:pPr>
              <w:jc w:val="left"/>
            </w:pPr>
            <w:r>
              <w:rPr>
                <w:rFonts w:ascii="BundesSans Office" w:hAnsi="BundesSans Office"/>
                <w:sz w:val="22"/>
              </w:rPr>
              <w:t>Ausfallrisiko (Wartung)</w:t>
            </w:r>
          </w:p>
        </w:tc>
        <w:tc>
          <w:tcPr>
            <w:tcW w:type="dxa" w:w="2268"/>
          </w:tcPr>
          <w:p>
            <w:pPr>
              <w:jc w:val="center"/>
            </w:pPr>
            <w:r>
              <w:rPr>
                <w:rFonts w:ascii="BundesSans Office" w:hAnsi="BundesSans Office"/>
                <w:sz w:val="22"/>
              </w:rPr>
              <w:t>8%</w:t>
            </w:r>
          </w:p>
        </w:tc>
        <w:tc>
          <w:tcPr>
            <w:tcW w:type="dxa" w:w="2268"/>
          </w:tcPr>
          <w:p>
            <w:pPr>
              <w:jc w:val="center"/>
            </w:pPr>
            <w:r>
              <w:rPr>
                <w:rFonts w:ascii="BundesSans Office" w:hAnsi="BundesSans Office"/>
                <w:sz w:val="22"/>
              </w:rPr>
              <w:t>4.000</w:t>
            </w:r>
          </w:p>
        </w:tc>
        <w:tc>
          <w:tcPr>
            <w:tcW w:type="dxa" w:w="2268"/>
          </w:tcPr>
          <w:p>
            <w:pPr>
              <w:jc w:val="center"/>
            </w:pPr>
            <w:r>
              <w:rPr>
                <w:rFonts w:ascii="BundesSans Office" w:hAnsi="BundesSans Office"/>
                <w:sz w:val="22"/>
              </w:rPr>
              <w:t>320</w:t>
            </w:r>
          </w:p>
        </w:tc>
      </w:tr>
      <w:tr>
        <w:tc>
          <w:tcPr>
            <w:tcW w:type="dxa" w:w="2268"/>
          </w:tcPr>
          <w:p>
            <w:pPr>
              <w:jc w:val="left"/>
            </w:pPr>
            <w:r>
              <w:rPr>
                <w:rFonts w:ascii="BundesSans Office" w:hAnsi="BundesSans Office"/>
                <w:sz w:val="22"/>
              </w:rPr>
              <w:t>Preisrisiko Lohnunternehmer</w:t>
            </w:r>
          </w:p>
        </w:tc>
        <w:tc>
          <w:tcPr>
            <w:tcW w:type="dxa" w:w="2268"/>
          </w:tcPr>
          <w:p>
            <w:pPr>
              <w:jc w:val="center"/>
            </w:pPr>
            <w:r>
              <w:rPr>
                <w:rFonts w:ascii="BundesSans Office" w:hAnsi="BundesSans Office"/>
                <w:sz w:val="22"/>
              </w:rPr>
              <w:t>30%</w:t>
            </w:r>
          </w:p>
        </w:tc>
        <w:tc>
          <w:tcPr>
            <w:tcW w:type="dxa" w:w="2268"/>
          </w:tcPr>
          <w:p>
            <w:pPr>
              <w:jc w:val="center"/>
            </w:pPr>
            <w:r>
              <w:rPr>
                <w:rFonts w:ascii="BundesSans Office" w:hAnsi="BundesSans Office"/>
                <w:sz w:val="22"/>
              </w:rPr>
              <w:t>6.000</w:t>
            </w:r>
          </w:p>
        </w:tc>
        <w:tc>
          <w:tcPr>
            <w:tcW w:type="dxa" w:w="2268"/>
          </w:tcPr>
          <w:p>
            <w:pPr>
              <w:jc w:val="center"/>
            </w:pPr>
            <w:r>
              <w:rPr>
                <w:rFonts w:ascii="BundesSans Office" w:hAnsi="BundesSans Office"/>
                <w:sz w:val="22"/>
              </w:rPr>
              <w:t>1.800</w:t>
            </w:r>
          </w:p>
        </w:tc>
      </w:tr>
      <w:tr>
        <w:tc>
          <w:tcPr>
            <w:tcW w:type="dxa" w:w="2268"/>
          </w:tcPr>
          <w:p>
            <w:pPr>
              <w:jc w:val="left"/>
            </w:pPr>
            <w:r>
              <w:rPr>
                <w:rFonts w:ascii="BundesSans Office" w:hAnsi="BundesSans Office"/>
                <w:sz w:val="22"/>
              </w:rPr>
              <w:t>Marktpreisrisiko (Restwert)</w:t>
            </w:r>
          </w:p>
        </w:tc>
        <w:tc>
          <w:tcPr>
            <w:tcW w:type="dxa" w:w="2268"/>
          </w:tcPr>
          <w:p>
            <w:pPr>
              <w:jc w:val="center"/>
            </w:pPr>
            <w:r>
              <w:rPr>
                <w:rFonts w:ascii="BundesSans Office" w:hAnsi="BundesSans Office"/>
                <w:sz w:val="22"/>
              </w:rPr>
              <w:t>60%</w:t>
            </w:r>
          </w:p>
        </w:tc>
        <w:tc>
          <w:tcPr>
            <w:tcW w:type="dxa" w:w="2268"/>
          </w:tcPr>
          <w:p>
            <w:pPr>
              <w:jc w:val="center"/>
            </w:pPr>
            <w:r>
              <w:rPr>
                <w:rFonts w:ascii="BundesSans Office" w:hAnsi="BundesSans Office"/>
                <w:sz w:val="22"/>
              </w:rPr>
              <w:t>2.000</w:t>
            </w:r>
          </w:p>
        </w:tc>
        <w:tc>
          <w:tcPr>
            <w:tcW w:type="dxa" w:w="2268"/>
          </w:tcPr>
          <w:p>
            <w:pPr>
              <w:jc w:val="center"/>
            </w:pPr>
            <w:r>
              <w:rPr>
                <w:rFonts w:ascii="BundesSans Office" w:hAnsi="BundesSans Office"/>
                <w:sz w:val="22"/>
              </w:rPr>
              <w:t>1.200</w:t>
            </w:r>
          </w:p>
        </w:tc>
      </w:tr>
    </w:tbl>
    <w:p>
      <w:pPr>
        <w:jc w:val="left"/>
      </w:pPr>
      <w:r>
        <w:rPr>
          <w:rFonts w:ascii="BundesSans Office" w:hAnsi="BundesSans Office"/>
          <w:i/>
          <w:sz w:val="18"/>
        </w:rPr>
        <w:t>Tabelle 6: Risikoidentifizierung – Übersicht identifizierter Risiken</w:t>
      </w:r>
    </w:p>
    <w:p>
      <w:pPr>
        <w:spacing w:before="60" w:after="60"/>
        <w:jc w:val="left"/>
      </w:pPr>
      <w:r>
        <w:rPr>
          <w:rFonts w:ascii="BundesSans Office" w:hAnsi="BundesSans Office"/>
          <w:b/>
          <w:color w:val="000000"/>
          <w:sz w:val="24"/>
        </w:rPr>
        <w:t>5.4.2 Risikoverteilung</w:t>
      </w:r>
    </w:p>
    <w:p>
      <w:pPr>
        <w:spacing w:line="300" w:lineRule="auto"/>
        <w:jc w:val="both"/>
      </w:pPr>
      <w:r>
        <w:rPr>
          <w:rFonts w:ascii="BundesSans Office" w:hAnsi="BundesSans Office"/>
          <w:sz w:val="22"/>
        </w:rPr>
        <w:t>Option 1: Ausfallrisiken und Restwertrisiken liegen bei der BwDLZ, werden aber durch die Neugerätegarantie (5 Jahre) teilweise abgemildert. Option 2: Ausfallrisiken liegen beim Leasinggeber. Preisrisiken liegen bei der BwDLZ. Option 4: Preisrisiken für Lohnunternehmer-Kosten liegen bei der BwDLZ, da externe Preise nicht kontrollierbar sind.</w:t>
      </w:r>
    </w:p>
    <w:p>
      <w:pPr>
        <w:spacing w:before="120" w:after="60"/>
        <w:jc w:val="left"/>
      </w:pPr>
      <w:r>
        <w:rPr>
          <w:rFonts w:ascii="BundesSans Office" w:hAnsi="BundesSans Office"/>
          <w:b/>
          <w:color w:val="000000"/>
          <w:sz w:val="24"/>
        </w:rPr>
        <w:t>5.5 Kapitalwert mit Risiko</w:t>
      </w:r>
    </w:p>
    <w:p>
      <w:pPr>
        <w:spacing w:line="300" w:lineRule="auto"/>
        <w:jc w:val="both"/>
      </w:pPr>
      <w:r>
        <w:rPr>
          <w:rFonts w:ascii="BundesSans Office" w:hAnsi="BundesSans Office"/>
          <w:sz w:val="22"/>
        </w:rPr>
        <w:t>Die Kapitalwerte werden um die monetär bewerteten Risikowerte erhöht. Option 1: 89.850 EUR (85.200 + 4.650 Risikowert über 10 Jahre). Option 2: 118.200 EUR (112.500 + 5.700). Option 4: 163.200 EUR (156.000 + 7.200). Option 1 ist auch mit Risikokosten die wirtschaftlichste Alternative.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Option</w:t>
            </w:r>
          </w:p>
        </w:tc>
        <w:tc>
          <w:tcPr>
            <w:tcW w:type="dxa" w:w="2268"/>
            <w:shd w:fill="D3D3D3"/>
          </w:tcPr>
          <w:p>
            <w:pPr>
              <w:jc w:val="center"/>
            </w:pPr>
            <w:r>
              <w:rPr>
                <w:rFonts w:ascii="BundesSans Office" w:hAnsi="BundesSans Office"/>
                <w:b/>
                <w:sz w:val="22"/>
              </w:rPr>
              <w:t>Kapitalwert ohne Risiko (EUR)</w:t>
            </w:r>
          </w:p>
        </w:tc>
        <w:tc>
          <w:tcPr>
            <w:tcW w:type="dxa" w:w="2268"/>
            <w:shd w:fill="D3D3D3"/>
          </w:tcPr>
          <w:p>
            <w:pPr>
              <w:jc w:val="center"/>
            </w:pPr>
            <w:r>
              <w:rPr>
                <w:rFonts w:ascii="BundesSans Office" w:hAnsi="BundesSans Office"/>
                <w:b/>
                <w:sz w:val="22"/>
              </w:rPr>
              <w:t>Risikowert (EUR)</w:t>
            </w:r>
          </w:p>
        </w:tc>
        <w:tc>
          <w:tcPr>
            <w:tcW w:type="dxa" w:w="2268"/>
            <w:shd w:fill="D3D3D3"/>
          </w:tcPr>
          <w:p>
            <w:pPr>
              <w:jc w:val="center"/>
            </w:pPr>
            <w:r>
              <w:rPr>
                <w:rFonts w:ascii="BundesSans Office" w:hAnsi="BundesSans Office"/>
                <w:b/>
                <w:sz w:val="22"/>
              </w:rPr>
              <w:t>Kapitalwert mit Risiko (EUR)</w:t>
            </w:r>
          </w:p>
        </w:tc>
      </w:tr>
      <w:tr>
        <w:tc>
          <w:tcPr>
            <w:tcW w:type="dxa" w:w="2268"/>
          </w:tcPr>
          <w:p>
            <w:pPr>
              <w:jc w:val="center"/>
            </w:pPr>
            <w:r>
              <w:rPr>
                <w:rFonts w:ascii="BundesSans Office" w:hAnsi="BundesSans Office"/>
                <w:sz w:val="22"/>
              </w:rPr>
              <w:t>Option 1: Neukauf</w:t>
            </w:r>
          </w:p>
        </w:tc>
        <w:tc>
          <w:tcPr>
            <w:tcW w:type="dxa" w:w="2268"/>
          </w:tcPr>
          <w:p>
            <w:pPr>
              <w:jc w:val="center"/>
            </w:pPr>
            <w:r>
              <w:rPr>
                <w:rFonts w:ascii="BundesSans Office" w:hAnsi="BundesSans Office"/>
                <w:sz w:val="22"/>
              </w:rPr>
              <w:t>85.200</w:t>
            </w:r>
          </w:p>
        </w:tc>
        <w:tc>
          <w:tcPr>
            <w:tcW w:type="dxa" w:w="2268"/>
          </w:tcPr>
          <w:p>
            <w:pPr>
              <w:jc w:val="center"/>
            </w:pPr>
            <w:r>
              <w:rPr>
                <w:rFonts w:ascii="BundesSans Office" w:hAnsi="BundesSans Office"/>
                <w:sz w:val="22"/>
              </w:rPr>
              <w:t>4.650</w:t>
            </w:r>
          </w:p>
        </w:tc>
        <w:tc>
          <w:tcPr>
            <w:tcW w:type="dxa" w:w="2268"/>
          </w:tcPr>
          <w:p>
            <w:pPr>
              <w:jc w:val="center"/>
            </w:pPr>
            <w:r>
              <w:rPr>
                <w:rFonts w:ascii="BundesSans Office" w:hAnsi="BundesSans Office"/>
                <w:sz w:val="22"/>
              </w:rPr>
              <w:t>89.850</w:t>
            </w:r>
          </w:p>
        </w:tc>
      </w:tr>
      <w:tr>
        <w:tc>
          <w:tcPr>
            <w:tcW w:type="dxa" w:w="2268"/>
          </w:tcPr>
          <w:p>
            <w:pPr>
              <w:jc w:val="center"/>
            </w:pPr>
            <w:r>
              <w:rPr>
                <w:rFonts w:ascii="BundesSans Office" w:hAnsi="BundesSans Office"/>
                <w:sz w:val="22"/>
              </w:rPr>
              <w:t>Option 2: Leasing</w:t>
            </w:r>
          </w:p>
        </w:tc>
        <w:tc>
          <w:tcPr>
            <w:tcW w:type="dxa" w:w="2268"/>
          </w:tcPr>
          <w:p>
            <w:pPr>
              <w:jc w:val="center"/>
            </w:pPr>
            <w:r>
              <w:rPr>
                <w:rFonts w:ascii="BundesSans Office" w:hAnsi="BundesSans Office"/>
                <w:sz w:val="22"/>
              </w:rPr>
              <w:t>112.500</w:t>
            </w:r>
          </w:p>
        </w:tc>
        <w:tc>
          <w:tcPr>
            <w:tcW w:type="dxa" w:w="2268"/>
          </w:tcPr>
          <w:p>
            <w:pPr>
              <w:jc w:val="center"/>
            </w:pPr>
            <w:r>
              <w:rPr>
                <w:rFonts w:ascii="BundesSans Office" w:hAnsi="BundesSans Office"/>
                <w:sz w:val="22"/>
              </w:rPr>
              <w:t>5.700</w:t>
            </w:r>
          </w:p>
        </w:tc>
        <w:tc>
          <w:tcPr>
            <w:tcW w:type="dxa" w:w="2268"/>
          </w:tcPr>
          <w:p>
            <w:pPr>
              <w:jc w:val="center"/>
            </w:pPr>
            <w:r>
              <w:rPr>
                <w:rFonts w:ascii="BundesSans Office" w:hAnsi="BundesSans Office"/>
                <w:sz w:val="22"/>
              </w:rPr>
              <w:t>118.200</w:t>
            </w:r>
          </w:p>
        </w:tc>
      </w:tr>
      <w:tr>
        <w:tc>
          <w:tcPr>
            <w:tcW w:type="dxa" w:w="2268"/>
          </w:tcPr>
          <w:p>
            <w:pPr>
              <w:jc w:val="center"/>
            </w:pPr>
            <w:r>
              <w:rPr>
                <w:rFonts w:ascii="BundesSans Office" w:hAnsi="BundesSans Office"/>
                <w:sz w:val="22"/>
              </w:rPr>
              <w:t>Option 4: Externe DL</w:t>
            </w:r>
          </w:p>
        </w:tc>
        <w:tc>
          <w:tcPr>
            <w:tcW w:type="dxa" w:w="2268"/>
          </w:tcPr>
          <w:p>
            <w:pPr>
              <w:jc w:val="center"/>
            </w:pPr>
            <w:r>
              <w:rPr>
                <w:rFonts w:ascii="BundesSans Office" w:hAnsi="BundesSans Office"/>
                <w:sz w:val="22"/>
              </w:rPr>
              <w:t>156.000</w:t>
            </w:r>
          </w:p>
        </w:tc>
        <w:tc>
          <w:tcPr>
            <w:tcW w:type="dxa" w:w="2268"/>
          </w:tcPr>
          <w:p>
            <w:pPr>
              <w:jc w:val="center"/>
            </w:pPr>
            <w:r>
              <w:rPr>
                <w:rFonts w:ascii="BundesSans Office" w:hAnsi="BundesSans Office"/>
                <w:sz w:val="22"/>
              </w:rPr>
              <w:t>7.200</w:t>
            </w:r>
          </w:p>
        </w:tc>
        <w:tc>
          <w:tcPr>
            <w:tcW w:type="dxa" w:w="2268"/>
          </w:tcPr>
          <w:p>
            <w:pPr>
              <w:jc w:val="center"/>
            </w:pPr>
            <w:r>
              <w:rPr>
                <w:rFonts w:ascii="BundesSans Office" w:hAnsi="BundesSans Office"/>
                <w:sz w:val="22"/>
              </w:rPr>
              <w:t>163.200</w:t>
            </w:r>
          </w:p>
        </w:tc>
      </w:tr>
    </w:tbl>
    <w:p>
      <w:pPr>
        <w:jc w:val="left"/>
      </w:pPr>
      <w:r>
        <w:rPr>
          <w:rFonts w:ascii="BundesSans Office" w:hAnsi="BundesSans Office"/>
          <w:i/>
          <w:sz w:val="18"/>
        </w:rPr>
        <w:t>Tabelle 7: Kapitalwertvergleich mit Risikobetrachtung</w:t>
      </w:r>
    </w:p>
    <w:p>
      <w:r>
        <w:br w:type="page"/>
      </w:r>
    </w:p>
    <w:p>
      <w:pPr>
        <w:spacing w:before="240" w:after="120"/>
        <w:jc w:val="left"/>
      </w:pPr>
      <w:r>
        <w:rPr>
          <w:rFonts w:ascii="BundesSans Office" w:hAnsi="BundesSans Office"/>
          <w:b/>
          <w:color w:val="000000"/>
          <w:sz w:val="26"/>
        </w:rPr>
        <w:t>6 Vergleich der Optionen</w:t>
      </w:r>
    </w:p>
    <w:p>
      <w:pPr>
        <w:spacing w:line="300" w:lineRule="auto"/>
        <w:jc w:val="both"/>
      </w:pPr>
      <w:r>
        <w:rPr>
          <w:rFonts w:ascii="BundesSans Office" w:hAnsi="BundesSans Office"/>
          <w:sz w:val="22"/>
        </w:rPr>
        <w:t>Option 1 (Neukauf) erreicht mit 89.850 EUR den niedrigsten Kapitalwert und damit die höchste Wirtschaftlichkeit. Diese wirtschaftliche Vorteilhaftigkeit wird durch nicht-monetäre Faktoren gestützt: optimale Kontrolle über Wartung und Betrieb, hohe Zuverlässigkeit für Winterdienste und Grünflächenpflege sowie strategische Unabhängigkeit.</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Kriterium</w:t>
            </w:r>
          </w:p>
        </w:tc>
        <w:tc>
          <w:tcPr>
            <w:tcW w:type="dxa" w:w="2268"/>
            <w:shd w:fill="D3D3D3"/>
          </w:tcPr>
          <w:p>
            <w:pPr>
              <w:jc w:val="center"/>
            </w:pPr>
            <w:r>
              <w:rPr>
                <w:rFonts w:ascii="BundesSans Office" w:hAnsi="BundesSans Office"/>
                <w:b/>
                <w:sz w:val="22"/>
              </w:rPr>
              <w:t>Option 1: Neukauf</w:t>
            </w:r>
          </w:p>
        </w:tc>
        <w:tc>
          <w:tcPr>
            <w:tcW w:type="dxa" w:w="2268"/>
            <w:shd w:fill="D3D3D3"/>
          </w:tcPr>
          <w:p>
            <w:pPr>
              <w:jc w:val="center"/>
            </w:pPr>
            <w:r>
              <w:rPr>
                <w:rFonts w:ascii="BundesSans Office" w:hAnsi="BundesSans Office"/>
                <w:b/>
                <w:sz w:val="22"/>
              </w:rPr>
              <w:t>Option 2: Leasing</w:t>
            </w:r>
          </w:p>
        </w:tc>
        <w:tc>
          <w:tcPr>
            <w:tcW w:type="dxa" w:w="2268"/>
            <w:shd w:fill="D3D3D3"/>
          </w:tcPr>
          <w:p>
            <w:pPr>
              <w:jc w:val="center"/>
            </w:pPr>
            <w:r>
              <w:rPr>
                <w:rFonts w:ascii="BundesSans Office" w:hAnsi="BundesSans Office"/>
                <w:b/>
                <w:sz w:val="22"/>
              </w:rPr>
              <w:t>Option 4: Externe DL</w:t>
            </w:r>
          </w:p>
        </w:tc>
      </w:tr>
      <w:tr>
        <w:tc>
          <w:tcPr>
            <w:tcW w:type="dxa" w:w="2268"/>
          </w:tcPr>
          <w:p>
            <w:pPr>
              <w:jc w:val="left"/>
            </w:pPr>
            <w:r>
              <w:rPr>
                <w:rFonts w:ascii="BundesSans Office" w:hAnsi="BundesSans Office"/>
                <w:sz w:val="22"/>
              </w:rPr>
              <w:t>Kapitalwert mit Risiko (EUR)</w:t>
            </w:r>
          </w:p>
        </w:tc>
        <w:tc>
          <w:tcPr>
            <w:tcW w:type="dxa" w:w="2268"/>
          </w:tcPr>
          <w:p>
            <w:pPr>
              <w:jc w:val="center"/>
            </w:pPr>
            <w:r>
              <w:rPr>
                <w:rFonts w:ascii="BundesSans Office" w:hAnsi="BundesSans Office"/>
                <w:sz w:val="22"/>
              </w:rPr>
              <w:t>89.850</w:t>
            </w:r>
          </w:p>
        </w:tc>
        <w:tc>
          <w:tcPr>
            <w:tcW w:type="dxa" w:w="2268"/>
          </w:tcPr>
          <w:p>
            <w:pPr>
              <w:jc w:val="center"/>
            </w:pPr>
            <w:r>
              <w:rPr>
                <w:rFonts w:ascii="BundesSans Office" w:hAnsi="BundesSans Office"/>
                <w:sz w:val="22"/>
              </w:rPr>
              <w:t>118.200</w:t>
            </w:r>
          </w:p>
        </w:tc>
        <w:tc>
          <w:tcPr>
            <w:tcW w:type="dxa" w:w="2268"/>
          </w:tcPr>
          <w:p>
            <w:pPr>
              <w:jc w:val="center"/>
            </w:pPr>
            <w:r>
              <w:rPr>
                <w:rFonts w:ascii="BundesSans Office" w:hAnsi="BundesSans Office"/>
                <w:sz w:val="22"/>
              </w:rPr>
              <w:t>163.200</w:t>
            </w:r>
          </w:p>
        </w:tc>
      </w:tr>
      <w:tr>
        <w:tc>
          <w:tcPr>
            <w:tcW w:type="dxa" w:w="2268"/>
          </w:tcPr>
          <w:p>
            <w:pPr>
              <w:jc w:val="left"/>
            </w:pPr>
            <w:r>
              <w:rPr>
                <w:rFonts w:ascii="BundesSans Office" w:hAnsi="BundesSans Office"/>
                <w:sz w:val="22"/>
              </w:rPr>
              <w:t>Wirtschaftlichkeit</w:t>
            </w:r>
          </w:p>
        </w:tc>
        <w:tc>
          <w:tcPr>
            <w:tcW w:type="dxa" w:w="2268"/>
          </w:tcPr>
          <w:p>
            <w:pPr>
              <w:jc w:val="left"/>
            </w:pPr>
            <w:r>
              <w:rPr>
                <w:rFonts w:ascii="BundesSans Office" w:hAnsi="BundesSans Office"/>
                <w:sz w:val="22"/>
              </w:rPr>
              <w:t>Beste</w:t>
            </w:r>
          </w:p>
        </w:tc>
        <w:tc>
          <w:tcPr>
            <w:tcW w:type="dxa" w:w="2268"/>
          </w:tcPr>
          <w:p>
            <w:pPr>
              <w:jc w:val="left"/>
            </w:pPr>
            <w:r>
              <w:rPr>
                <w:rFonts w:ascii="BundesSans Office" w:hAnsi="BundesSans Office"/>
                <w:sz w:val="22"/>
              </w:rPr>
              <w:t>Schlecht</w:t>
            </w:r>
          </w:p>
        </w:tc>
        <w:tc>
          <w:tcPr>
            <w:tcW w:type="dxa" w:w="2268"/>
          </w:tcPr>
          <w:p>
            <w:pPr>
              <w:jc w:val="left"/>
            </w:pPr>
            <w:r>
              <w:rPr>
                <w:rFonts w:ascii="BundesSans Office" w:hAnsi="BundesSans Office"/>
                <w:sz w:val="22"/>
              </w:rPr>
              <w:t>Nicht wirtschaftlich</w:t>
            </w:r>
          </w:p>
        </w:tc>
      </w:tr>
      <w:tr>
        <w:tc>
          <w:tcPr>
            <w:tcW w:type="dxa" w:w="2268"/>
          </w:tcPr>
          <w:p>
            <w:pPr>
              <w:jc w:val="left"/>
            </w:pPr>
            <w:r>
              <w:rPr>
                <w:rFonts w:ascii="BundesSans Office" w:hAnsi="BundesSans Office"/>
                <w:sz w:val="22"/>
              </w:rPr>
              <w:t>Robustheit (Sensitivität)</w:t>
            </w:r>
          </w:p>
        </w:tc>
        <w:tc>
          <w:tcPr>
            <w:tcW w:type="dxa" w:w="2268"/>
          </w:tcPr>
          <w:p>
            <w:pPr>
              <w:jc w:val="left"/>
            </w:pPr>
            <w:r>
              <w:rPr>
                <w:rFonts w:ascii="BundesSans Office" w:hAnsi="BundesSans Office"/>
                <w:sz w:val="22"/>
              </w:rPr>
              <w:t>Robust gegen Preisänderungen</w:t>
            </w:r>
          </w:p>
        </w:tc>
        <w:tc>
          <w:tcPr>
            <w:tcW w:type="dxa" w:w="2268"/>
          </w:tcPr>
          <w:p>
            <w:pPr>
              <w:jc w:val="left"/>
            </w:pPr>
            <w:r>
              <w:rPr>
                <w:rFonts w:ascii="BundesSans Office" w:hAnsi="BundesSans Office"/>
                <w:sz w:val="22"/>
              </w:rPr>
              <w:t>Schwach gegen Leasingpreise</w:t>
            </w:r>
          </w:p>
        </w:tc>
        <w:tc>
          <w:tcPr>
            <w:tcW w:type="dxa" w:w="2268"/>
          </w:tcPr>
          <w:p>
            <w:pPr>
              <w:jc w:val="left"/>
            </w:pPr>
            <w:r>
              <w:rPr>
                <w:rFonts w:ascii="BundesSans Office" w:hAnsi="BundesSans Office"/>
                <w:sz w:val="22"/>
              </w:rPr>
              <w:t>Sehr schwach gegen Preisrisiken</w:t>
            </w:r>
          </w:p>
        </w:tc>
      </w:tr>
      <w:tr>
        <w:tc>
          <w:tcPr>
            <w:tcW w:type="dxa" w:w="2268"/>
          </w:tcPr>
          <w:p>
            <w:pPr>
              <w:jc w:val="left"/>
            </w:pPr>
            <w:r>
              <w:rPr>
                <w:rFonts w:ascii="BundesSans Office" w:hAnsi="BundesSans Office"/>
                <w:sz w:val="22"/>
              </w:rPr>
              <w:t>Gesamtbewertung</w:t>
            </w:r>
          </w:p>
        </w:tc>
        <w:tc>
          <w:tcPr>
            <w:tcW w:type="dxa" w:w="2268"/>
          </w:tcPr>
          <w:p>
            <w:pPr>
              <w:jc w:val="left"/>
            </w:pPr>
            <w:r>
              <w:rPr>
                <w:rFonts w:ascii="BundesSans Office" w:hAnsi="BundesSans Office"/>
                <w:sz w:val="22"/>
              </w:rPr>
              <w:t>Empfohlen</w:t>
            </w:r>
          </w:p>
        </w:tc>
        <w:tc>
          <w:tcPr>
            <w:tcW w:type="dxa" w:w="2268"/>
          </w:tcPr>
          <w:p>
            <w:pPr>
              <w:jc w:val="left"/>
            </w:pPr>
            <w:r>
              <w:rPr>
                <w:rFonts w:ascii="BundesSans Office" w:hAnsi="BundesSans Office"/>
                <w:sz w:val="22"/>
              </w:rPr>
              <w:t>Alternative</w:t>
            </w:r>
          </w:p>
        </w:tc>
        <w:tc>
          <w:tcPr>
            <w:tcW w:type="dxa" w:w="2268"/>
          </w:tcPr>
          <w:p>
            <w:pPr>
              <w:jc w:val="left"/>
            </w:pPr>
            <w:r>
              <w:rPr>
                <w:rFonts w:ascii="BundesSans Office" w:hAnsi="BundesSans Office"/>
                <w:sz w:val="22"/>
              </w:rPr>
              <w:t>Nicht empfohlen</w:t>
            </w:r>
          </w:p>
        </w:tc>
      </w:tr>
    </w:tbl>
    <w:p>
      <w:pPr>
        <w:jc w:val="left"/>
      </w:pPr>
      <w:r>
        <w:rPr>
          <w:rFonts w:ascii="BundesSans Office" w:hAnsi="BundesSans Office"/>
          <w:i/>
          <w:sz w:val="18"/>
        </w:rPr>
        <w:t>Tabelle 8: Vergleich der Optionen – Wirtschaftlichkeit und Robustheit</w:t>
      </w:r>
    </w:p>
    <w:p>
      <w:r>
        <w:br w:type="page"/>
      </w:r>
    </w:p>
    <w:p>
      <w:pPr>
        <w:spacing w:before="240" w:after="120"/>
        <w:jc w:val="left"/>
      </w:pPr>
      <w:r>
        <w:rPr>
          <w:rFonts w:ascii="BundesSans Office" w:hAnsi="BundesSans Office"/>
          <w:b/>
          <w:color w:val="000000"/>
          <w:sz w:val="26"/>
        </w:rPr>
        <w:t>7 Sensitivitätsanalyse</w:t>
      </w:r>
    </w:p>
    <w:p>
      <w:pPr>
        <w:spacing w:line="300" w:lineRule="auto"/>
        <w:jc w:val="both"/>
      </w:pPr>
      <w:r>
        <w:rPr>
          <w:rFonts w:ascii="BundesSans Office" w:hAnsi="BundesSans Office"/>
          <w:sz w:val="22"/>
        </w:rPr>
        <w:t>Die Sensitivitätsanalyse prüft, unter welchen Bedingungen die Vorteilhaftigkeit der empfohlenen Option erhalten bleibt. Szenario A (Wartungskosten +50%): Option 1 Kapitalwert etwa 92.500 EUR. Option 1 bleibt führend. Szenario B (Leasingrate –20%): Option 2 Kapitalwert etwa 106.800 EUR. Option 1 bleibt führend. Szenario C (LU-Kosten –20%): Option 4 Kapitalwert etwa 150.000 EUR. Option 1 bleibt führend. Fazit: Option 1 ist robust gegen Preisveränderungen.</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Szenario</w:t>
            </w:r>
          </w:p>
        </w:tc>
        <w:tc>
          <w:tcPr>
            <w:tcW w:type="dxa" w:w="1814"/>
            <w:shd w:fill="D3D3D3"/>
          </w:tcPr>
          <w:p>
            <w:pPr>
              <w:jc w:val="center"/>
            </w:pPr>
            <w:r>
              <w:rPr>
                <w:rFonts w:ascii="BundesSans Office" w:hAnsi="BundesSans Office"/>
                <w:b/>
                <w:sz w:val="22"/>
              </w:rPr>
              <w:t>Parameter-Änderung</w:t>
            </w:r>
          </w:p>
        </w:tc>
        <w:tc>
          <w:tcPr>
            <w:tcW w:type="dxa" w:w="1814"/>
            <w:shd w:fill="D3D3D3"/>
          </w:tcPr>
          <w:p>
            <w:pPr>
              <w:jc w:val="center"/>
            </w:pPr>
            <w:r>
              <w:rPr>
                <w:rFonts w:ascii="BundesSans Office" w:hAnsi="BundesSans Office"/>
                <w:b/>
                <w:sz w:val="22"/>
              </w:rPr>
              <w:t>Option 1 KW (EUR)</w:t>
            </w:r>
          </w:p>
        </w:tc>
        <w:tc>
          <w:tcPr>
            <w:tcW w:type="dxa" w:w="1814"/>
            <w:shd w:fill="D3D3D3"/>
          </w:tcPr>
          <w:p>
            <w:pPr>
              <w:jc w:val="center"/>
            </w:pPr>
            <w:r>
              <w:rPr>
                <w:rFonts w:ascii="BundesSans Office" w:hAnsi="BundesSans Office"/>
                <w:b/>
                <w:sz w:val="22"/>
              </w:rPr>
              <w:t>Option 2 KW (EUR)</w:t>
            </w:r>
          </w:p>
        </w:tc>
        <w:tc>
          <w:tcPr>
            <w:tcW w:type="dxa" w:w="1814"/>
            <w:shd w:fill="D3D3D3"/>
          </w:tcPr>
          <w:p>
            <w:pPr>
              <w:jc w:val="center"/>
            </w:pPr>
            <w:r>
              <w:rPr>
                <w:rFonts w:ascii="BundesSans Office" w:hAnsi="BundesSans Office"/>
                <w:b/>
                <w:sz w:val="22"/>
              </w:rPr>
              <w:t>Option 4 KW (EUR)</w:t>
            </w:r>
          </w:p>
        </w:tc>
      </w:tr>
      <w:tr>
        <w:tc>
          <w:tcPr>
            <w:tcW w:type="dxa" w:w="1814"/>
          </w:tcPr>
          <w:p>
            <w:pPr>
              <w:jc w:val="left"/>
            </w:pPr>
            <w:r>
              <w:rPr>
                <w:rFonts w:ascii="BundesSans Office" w:hAnsi="BundesSans Office"/>
                <w:sz w:val="22"/>
              </w:rPr>
              <w:t>Basis</w:t>
            </w:r>
          </w:p>
        </w:tc>
        <w:tc>
          <w:tcPr>
            <w:tcW w:type="dxa" w:w="1814"/>
          </w:tcPr>
          <w:p>
            <w:pPr>
              <w:jc w:val="left"/>
            </w:pPr>
            <w:r>
              <w:rPr>
                <w:rFonts w:ascii="BundesSans Office" w:hAnsi="BundesSans Office"/>
                <w:sz w:val="22"/>
              </w:rPr>
              <w:t>Keine Änderung</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A</w:t>
            </w:r>
          </w:p>
        </w:tc>
        <w:tc>
          <w:tcPr>
            <w:tcW w:type="dxa" w:w="1814"/>
          </w:tcPr>
          <w:p>
            <w:pPr>
              <w:jc w:val="center"/>
            </w:pPr>
            <w:r>
              <w:rPr>
                <w:rFonts w:ascii="BundesSans Office" w:hAnsi="BundesSans Office"/>
                <w:sz w:val="22"/>
              </w:rPr>
              <w:t>Wartungskosten +50%</w:t>
            </w:r>
          </w:p>
        </w:tc>
        <w:tc>
          <w:tcPr>
            <w:tcW w:type="dxa" w:w="1814"/>
          </w:tcPr>
          <w:p>
            <w:pPr>
              <w:jc w:val="center"/>
            </w:pPr>
            <w:r>
              <w:rPr>
                <w:rFonts w:ascii="BundesSans Office" w:hAnsi="BundesSans Office"/>
                <w:sz w:val="22"/>
              </w:rPr>
              <w:t>92.500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B</w:t>
            </w:r>
          </w:p>
        </w:tc>
        <w:tc>
          <w:tcPr>
            <w:tcW w:type="dxa" w:w="1814"/>
          </w:tcPr>
          <w:p>
            <w:pPr>
              <w:jc w:val="center"/>
            </w:pPr>
            <w:r>
              <w:rPr>
                <w:rFonts w:ascii="BundesSans Office" w:hAnsi="BundesSans Office"/>
                <w:sz w:val="22"/>
              </w:rPr>
              <w:t>Leasingrate -20%</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106.800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C</w:t>
            </w:r>
          </w:p>
        </w:tc>
        <w:tc>
          <w:tcPr>
            <w:tcW w:type="dxa" w:w="1814"/>
          </w:tcPr>
          <w:p>
            <w:pPr>
              <w:jc w:val="center"/>
            </w:pPr>
            <w:r>
              <w:rPr>
                <w:rFonts w:ascii="BundesSans Office" w:hAnsi="BundesSans Office"/>
                <w:sz w:val="22"/>
              </w:rPr>
              <w:t>LU-Kosten -20%</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150.000</w:t>
            </w:r>
          </w:p>
        </w:tc>
      </w:tr>
    </w:tbl>
    <w:p>
      <w:pPr>
        <w:jc w:val="left"/>
      </w:pPr>
      <w:r>
        <w:rPr>
          <w:rFonts w:ascii="BundesSans Office" w:hAnsi="BundesSans Office"/>
          <w:i/>
          <w:sz w:val="18"/>
        </w:rPr>
        <w:t>Tabelle 9: Sensitivitätsanalyse – Kapitalwertveränderungen bei verschiedenen Szenarien</w:t>
      </w:r>
    </w:p>
    <w:p>
      <w:r>
        <w:br w:type="page"/>
      </w:r>
    </w:p>
    <w:p>
      <w:pPr>
        <w:spacing w:before="240" w:after="120"/>
        <w:jc w:val="left"/>
      </w:pPr>
      <w:r>
        <w:rPr>
          <w:rFonts w:ascii="BundesSans Office" w:hAnsi="BundesSans Office"/>
          <w:b/>
          <w:color w:val="000000"/>
          <w:sz w:val="26"/>
        </w:rPr>
        <w:t>8 Nicht-monetäre Faktoren</w:t>
      </w:r>
    </w:p>
    <w:p>
      <w:pPr>
        <w:spacing w:line="300" w:lineRule="auto"/>
        <w:jc w:val="both"/>
      </w:pPr>
      <w:r>
        <w:rPr>
          <w:rFonts w:ascii="BundesSans Office" w:hAnsi="BundesSans Office"/>
          <w:sz w:val="22"/>
        </w:rPr>
        <w:t>Neben den ökonomischen Analysen werden folgende qualitative Faktoren berücksichtigt: Betriebscontrolle und Zuverlässigkeit (Option 1 beste Kontrolle über Wartung und Verfügbarkeit), Winterdienstleistung im Notfall (Option 1 garantiert ganzjährige Verfügbarkeit), Nachhaltigkeitsaspekte (Stage V Standard erfüllt Bundeswehr-Ziele) und strategische Unabhängigkeit (eigenes Gerät gibt volle Kontrolle). Die nicht-monetären Faktoren bestätigen die wirtschaftliche Empfehlung für Option 1.</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Kriterium</w:t>
            </w:r>
          </w:p>
        </w:tc>
        <w:tc>
          <w:tcPr>
            <w:tcW w:type="dxa" w:w="1814"/>
            <w:shd w:fill="D3D3D3"/>
          </w:tcPr>
          <w:p>
            <w:pPr>
              <w:jc w:val="center"/>
            </w:pPr>
            <w:r>
              <w:rPr>
                <w:rFonts w:ascii="BundesSans Office" w:hAnsi="BundesSans Office"/>
                <w:b/>
                <w:sz w:val="22"/>
              </w:rPr>
              <w:t>Option 1: Neukauf</w:t>
            </w:r>
          </w:p>
        </w:tc>
        <w:tc>
          <w:tcPr>
            <w:tcW w:type="dxa" w:w="1814"/>
            <w:shd w:fill="D3D3D3"/>
          </w:tcPr>
          <w:p>
            <w:pPr>
              <w:jc w:val="center"/>
            </w:pPr>
            <w:r>
              <w:rPr>
                <w:rFonts w:ascii="BundesSans Office" w:hAnsi="BundesSans Office"/>
                <w:b/>
                <w:sz w:val="22"/>
              </w:rPr>
              <w:t>Option 2: Leasing</w:t>
            </w:r>
          </w:p>
        </w:tc>
        <w:tc>
          <w:tcPr>
            <w:tcW w:type="dxa" w:w="1814"/>
            <w:shd w:fill="D3D3D3"/>
          </w:tcPr>
          <w:p>
            <w:pPr>
              <w:jc w:val="center"/>
            </w:pPr>
            <w:r>
              <w:rPr>
                <w:rFonts w:ascii="BundesSans Office" w:hAnsi="BundesSans Office"/>
                <w:b/>
                <w:sz w:val="22"/>
              </w:rPr>
              <w:t>Option 4: Externe DL</w:t>
            </w:r>
          </w:p>
        </w:tc>
        <w:tc>
          <w:tcPr>
            <w:tcW w:type="dxa" w:w="1814"/>
            <w:shd w:fill="D3D3D3"/>
          </w:tcPr>
          <w:p>
            <w:pPr>
              <w:jc w:val="center"/>
            </w:pPr>
            <w:r>
              <w:rPr>
                <w:rFonts w:ascii="BundesSans Office" w:hAnsi="BundesSans Office"/>
                <w:b/>
                <w:sz w:val="22"/>
              </w:rPr>
              <w:t>Gewicht</w:t>
            </w:r>
          </w:p>
        </w:tc>
      </w:tr>
      <w:tr>
        <w:tc>
          <w:tcPr>
            <w:tcW w:type="dxa" w:w="1814"/>
          </w:tcPr>
          <w:p>
            <w:pPr>
              <w:jc w:val="left"/>
            </w:pPr>
            <w:r>
              <w:rPr>
                <w:rFonts w:ascii="BundesSans Office" w:hAnsi="BundesSans Office"/>
                <w:sz w:val="22"/>
              </w:rPr>
              <w:t>Betriebscontrolle</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Befriedigend</w:t>
            </w:r>
          </w:p>
        </w:tc>
        <w:tc>
          <w:tcPr>
            <w:tcW w:type="dxa" w:w="1814"/>
          </w:tcPr>
          <w:p>
            <w:pPr>
              <w:jc w:val="left"/>
            </w:pPr>
            <w:r>
              <w:rPr>
                <w:rFonts w:ascii="BundesSans Office" w:hAnsi="BundesSans Office"/>
                <w:sz w:val="22"/>
              </w:rPr>
              <w:t>Hoch</w:t>
            </w:r>
          </w:p>
        </w:tc>
      </w:tr>
      <w:tr>
        <w:tc>
          <w:tcPr>
            <w:tcW w:type="dxa" w:w="1814"/>
          </w:tcPr>
          <w:p>
            <w:pPr>
              <w:jc w:val="left"/>
            </w:pPr>
            <w:r>
              <w:rPr>
                <w:rFonts w:ascii="BundesSans Office" w:hAnsi="BundesSans Office"/>
                <w:sz w:val="22"/>
              </w:rPr>
              <w:t>Zuverlässigkeit Winterdienst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Mittel</w:t>
            </w:r>
          </w:p>
        </w:tc>
        <w:tc>
          <w:tcPr>
            <w:tcW w:type="dxa" w:w="1814"/>
          </w:tcPr>
          <w:p>
            <w:pPr>
              <w:jc w:val="left"/>
            </w:pPr>
            <w:r>
              <w:rPr>
                <w:rFonts w:ascii="BundesSans Office" w:hAnsi="BundesSans Office"/>
                <w:sz w:val="22"/>
              </w:rPr>
              <w:t>Hoch</w:t>
            </w:r>
          </w:p>
        </w:tc>
      </w:tr>
      <w:tr>
        <w:tc>
          <w:tcPr>
            <w:tcW w:type="dxa" w:w="1814"/>
          </w:tcPr>
          <w:p>
            <w:pPr>
              <w:jc w:val="left"/>
            </w:pPr>
            <w:r>
              <w:rPr>
                <w:rFonts w:ascii="BundesSans Office" w:hAnsi="BundesSans Office"/>
                <w:sz w:val="22"/>
              </w:rPr>
              <w:t>Nachhaltigkeit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Mittel</w:t>
            </w:r>
          </w:p>
        </w:tc>
      </w:tr>
      <w:tr>
        <w:tc>
          <w:tcPr>
            <w:tcW w:type="dxa" w:w="1814"/>
          </w:tcPr>
          <w:p>
            <w:pPr>
              <w:jc w:val="left"/>
            </w:pPr>
            <w:r>
              <w:rPr>
                <w:rFonts w:ascii="BundesSans Office" w:hAnsi="BundesSans Office"/>
                <w:sz w:val="22"/>
              </w:rPr>
              <w:t>Strategische Unabhängigkeit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Befriedigend</w:t>
            </w:r>
          </w:p>
        </w:tc>
        <w:tc>
          <w:tcPr>
            <w:tcW w:type="dxa" w:w="1814"/>
          </w:tcPr>
          <w:p>
            <w:pPr>
              <w:jc w:val="left"/>
            </w:pPr>
            <w:r>
              <w:rPr>
                <w:rFonts w:ascii="BundesSans Office" w:hAnsi="BundesSans Office"/>
                <w:sz w:val="22"/>
              </w:rPr>
              <w:t>Schlecht</w:t>
            </w:r>
          </w:p>
        </w:tc>
        <w:tc>
          <w:tcPr>
            <w:tcW w:type="dxa" w:w="1814"/>
          </w:tcPr>
          <w:p>
            <w:pPr>
              <w:jc w:val="left"/>
            </w:pPr>
            <w:r>
              <w:rPr>
                <w:rFonts w:ascii="BundesSans Office" w:hAnsi="BundesSans Office"/>
                <w:sz w:val="22"/>
              </w:rPr>
              <w:t>Mittel</w:t>
            </w:r>
          </w:p>
        </w:tc>
      </w:tr>
      <w:tr>
        <w:tc>
          <w:tcPr>
            <w:tcW w:type="dxa" w:w="1814"/>
          </w:tcPr>
          <w:p>
            <w:pPr>
              <w:jc w:val="left"/>
            </w:pPr>
            <w:r>
              <w:rPr>
                <w:rFonts w:ascii="BundesSans Office" w:hAnsi="BundesSans Office"/>
                <w:sz w:val="22"/>
              </w:rPr>
              <w:t>Fazit</w:t>
            </w:r>
          </w:p>
        </w:tc>
        <w:tc>
          <w:tcPr>
            <w:tcW w:type="dxa" w:w="1814"/>
          </w:tcPr>
          <w:p>
            <w:pPr>
              <w:jc w:val="left"/>
            </w:pPr>
            <w:r>
              <w:rPr>
                <w:rFonts w:ascii="BundesSans Office" w:hAnsi="BundesSans Office"/>
                <w:sz w:val="22"/>
              </w:rPr>
              <w:t>Beste Gesamtbewertung</w:t>
            </w:r>
          </w:p>
        </w:tc>
        <w:tc>
          <w:tcPr>
            <w:tcW w:type="dxa" w:w="1814"/>
          </w:tcPr>
          <w:p>
            <w:pPr>
              <w:jc w:val="left"/>
            </w:pPr>
            <w:r>
              <w:rPr>
                <w:rFonts w:ascii="BundesSans Office" w:hAnsi="BundesSans Office"/>
                <w:sz w:val="22"/>
              </w:rPr>
              <w:t>Ausgewogen</w:t>
            </w:r>
          </w:p>
        </w:tc>
        <w:tc>
          <w:tcPr>
            <w:tcW w:type="dxa" w:w="1814"/>
          </w:tcPr>
          <w:p>
            <w:pPr>
              <w:jc w:val="left"/>
            </w:pPr>
            <w:r>
              <w:rPr>
                <w:rFonts w:ascii="BundesSans Office" w:hAnsi="BundesSans Office"/>
                <w:sz w:val="22"/>
              </w:rPr>
              <w:t>Risiken</w:t>
            </w:r>
          </w:p>
        </w:tc>
        <w:tc>
          <w:tcPr>
            <w:tcW w:type="dxa" w:w="1814"/>
          </w:tcPr>
          <w:p>
            <w:pPr>
              <w:jc w:val="left"/>
            </w:pPr>
            <w:r>
              <w:rPr>
                <w:rFonts w:ascii="BundesSans Office" w:hAnsi="BundesSans Office"/>
                <w:sz w:val="22"/>
              </w:rPr>
              <w:t>—</w:t>
            </w:r>
          </w:p>
        </w:tc>
      </w:tr>
    </w:tbl>
    <w:p>
      <w:pPr>
        <w:jc w:val="left"/>
      </w:pPr>
      <w:r>
        <w:rPr>
          <w:rFonts w:ascii="BundesSans Office" w:hAnsi="BundesSans Office"/>
          <w:i/>
          <w:sz w:val="18"/>
        </w:rPr>
        <w:t>Tabelle 10: Nicht-monetäre Faktoren – Nutzwertanalyse der Optionen</w:t>
      </w:r>
    </w:p>
    <w:p>
      <w:r>
        <w:br w:type="page"/>
      </w:r>
    </w:p>
    <w:p>
      <w:pPr>
        <w:spacing w:before="240" w:after="120"/>
        <w:jc w:val="left"/>
      </w:pPr>
      <w:r>
        <w:rPr>
          <w:rFonts w:ascii="BundesSans Office" w:hAnsi="BundesSans Office"/>
          <w:b/>
          <w:color w:val="000000"/>
          <w:sz w:val="26"/>
        </w:rPr>
        <w:t>9 Entscheidungsvorschlag</w:t>
      </w:r>
    </w:p>
    <w:p>
      <w:pPr>
        <w:spacing w:line="300" w:lineRule="auto"/>
        <w:jc w:val="both"/>
      </w:pPr>
      <w:r>
        <w:rPr>
          <w:rFonts w:ascii="BundesSans Office" w:hAnsi="BundesSans Office"/>
          <w:sz w:val="22"/>
        </w:rPr>
        <w:t>Auf Grundlage der umfassenden Wirtschaftlichkeitsuntersuchung wird empfohlen, Option 1 – Neukauf eines modernen Allradschleppers – umzusetzen. Diese Option erzielt mit einem Kapitalwert von 89.850 Euro (einschließlich Risikowertung) das wirtschaftlichste Ergebnis unter allen untersuchten und bedarfsdeckenden Alternativen.</w:t>
      </w:r>
    </w:p>
    <w:p>
      <w:pPr>
        <w:spacing w:line="300" w:lineRule="auto"/>
        <w:jc w:val="both"/>
      </w:pPr>
      <w:r>
        <w:rPr>
          <w:rFonts w:ascii="BundesSans Office" w:hAnsi="BundesSans Office"/>
          <w:sz w:val="22"/>
        </w:rPr>
        <w:t>Diese Entscheidungsempfehlung wird durch folgende Faktoren begründet: Erstens erreicht Option 1 den niedrigsten Kapitalwert und damit die geringsten Gesamtkosten über zehn Jahre. Zweitens bietet Option 1 die höchste Betriebscontrolle und Zuverlässigkeit für Winterdienste und Grünflächenpflege. Drittens sichert Option 1 ganzjährige Verfügbarkeit unabhängig von externen Partnern. Viertens ermöglicht Option 1 langfristige Kostenplanbarkeit.</w:t>
      </w:r>
    </w:p>
    <w:p>
      <w:pPr>
        <w:spacing w:line="300" w:lineRule="auto"/>
        <w:jc w:val="both"/>
      </w:pPr>
      <w:r>
        <w:rPr>
          <w:rFonts w:ascii="BundesSans Office" w:hAnsi="BundesSans Office"/>
          <w:sz w:val="22"/>
        </w:rPr>
        <w:t>Empfohlene Spezifikation: Allradschlepper mit Motorleistung von mindestens 150 PS, EU-Emissionsnorm Stage V (mit DPF und SCR), Schnellwechsel-Aufnahmen für Zubehör, Kaufpreis circa 145.000 EUR netto. Typische Hersteller: Massey Ferguson, Deutz-Fahr oder Claas. Umsetzungszeitpunkt: Juni 2026.</w:t>
      </w:r>
    </w:p>
    <w:p>
      <w:r>
        <w:br w:type="page"/>
      </w:r>
    </w:p>
    <w:p>
      <w:pPr>
        <w:spacing w:before="240" w:after="120"/>
        <w:jc w:val="left"/>
      </w:pPr>
      <w:r>
        <w:rPr>
          <w:rFonts w:ascii="BundesSans Office" w:hAnsi="BundesSans Office"/>
          <w:b/>
          <w:color w:val="000000"/>
          <w:sz w:val="26"/>
        </w:rPr>
        <w:t>10 Anlagen</w:t>
      </w:r>
    </w:p>
    <w:p>
      <w:pPr>
        <w:spacing w:before="120" w:after="60"/>
        <w:jc w:val="left"/>
      </w:pPr>
      <w:r>
        <w:rPr>
          <w:rFonts w:ascii="BundesSans Office" w:hAnsi="BundesSans Office"/>
          <w:b/>
          <w:color w:val="000000"/>
          <w:sz w:val="24"/>
        </w:rPr>
        <w:t>Anlage 1: Marktrecherche Allradschlepper (Stand April 2026)</w:t>
      </w:r>
    </w:p>
    <w:tbl>
      <w:tblPr>
        <w:tblStyle w:val="Tabellenraster"/>
        <w:tblW w:type="auto" w:w="0"/>
        <w:tblLook w:firstColumn="1" w:firstRow="1" w:lastColumn="0" w:lastRow="0" w:noHBand="0" w:noVBand="1" w:val="04A0"/>
      </w:tblPr>
      <w:tblGrid>
        <w:gridCol w:w="1512"/>
        <w:gridCol w:w="1512"/>
        <w:gridCol w:w="1512"/>
        <w:gridCol w:w="1512"/>
        <w:gridCol w:w="1512"/>
        <w:gridCol w:w="1512"/>
      </w:tblGrid>
      <w:tr>
        <w:tc>
          <w:tcPr>
            <w:tcW w:type="dxa" w:w="1512"/>
            <w:shd w:fill="D3D3D3"/>
          </w:tcPr>
          <w:p>
            <w:pPr>
              <w:jc w:val="center"/>
            </w:pPr>
            <w:r>
              <w:rPr>
                <w:rFonts w:ascii="BundesSans Office" w:hAnsi="BundesSans Office"/>
                <w:b/>
                <w:sz w:val="22"/>
              </w:rPr>
              <w:t>Nr.</w:t>
            </w:r>
          </w:p>
        </w:tc>
        <w:tc>
          <w:tcPr>
            <w:tcW w:type="dxa" w:w="1512"/>
            <w:shd w:fill="D3D3D3"/>
          </w:tcPr>
          <w:p>
            <w:pPr>
              <w:jc w:val="center"/>
            </w:pPr>
            <w:r>
              <w:rPr>
                <w:rFonts w:ascii="BundesSans Office" w:hAnsi="BundesSans Office"/>
                <w:b/>
                <w:sz w:val="22"/>
              </w:rPr>
              <w:t>Produkt</w:t>
            </w:r>
          </w:p>
        </w:tc>
        <w:tc>
          <w:tcPr>
            <w:tcW w:type="dxa" w:w="1512"/>
            <w:shd w:fill="D3D3D3"/>
          </w:tcPr>
          <w:p>
            <w:pPr>
              <w:jc w:val="center"/>
            </w:pPr>
            <w:r>
              <w:rPr>
                <w:rFonts w:ascii="BundesSans Office" w:hAnsi="BundesSans Office"/>
                <w:b/>
                <w:sz w:val="22"/>
              </w:rPr>
              <w:t>Hersteller/Quelle</w:t>
            </w:r>
          </w:p>
        </w:tc>
        <w:tc>
          <w:tcPr>
            <w:tcW w:type="dxa" w:w="1512"/>
            <w:shd w:fill="D3D3D3"/>
          </w:tcPr>
          <w:p>
            <w:pPr>
              <w:jc w:val="center"/>
            </w:pPr>
            <w:r>
              <w:rPr>
                <w:rFonts w:ascii="BundesSans Office" w:hAnsi="BundesSans Office"/>
                <w:b/>
                <w:sz w:val="22"/>
              </w:rPr>
              <w:t>Preis (netto)</w:t>
            </w:r>
          </w:p>
        </w:tc>
        <w:tc>
          <w:tcPr>
            <w:tcW w:type="dxa" w:w="1512"/>
            <w:shd w:fill="D3D3D3"/>
          </w:tcPr>
          <w:p>
            <w:pPr>
              <w:jc w:val="center"/>
            </w:pPr>
            <w:r>
              <w:rPr>
                <w:rFonts w:ascii="BundesSans Office" w:hAnsi="BundesSans Office"/>
                <w:b/>
                <w:sz w:val="22"/>
              </w:rPr>
              <w:t>URL</w:t>
            </w:r>
          </w:p>
        </w:tc>
        <w:tc>
          <w:tcPr>
            <w:tcW w:type="dxa" w:w="1512"/>
            <w:shd w:fill="D3D3D3"/>
          </w:tcPr>
          <w:p>
            <w:pPr>
              <w:jc w:val="center"/>
            </w:pPr>
            <w:r>
              <w:rPr>
                <w:rFonts w:ascii="BundesSans Office" w:hAnsi="BundesSans Office"/>
                <w:b/>
                <w:sz w:val="22"/>
              </w:rPr>
              <w:t>Abrufdatum</w:t>
            </w:r>
          </w:p>
        </w:tc>
      </w:tr>
      <w:tr>
        <w:tc>
          <w:tcPr>
            <w:tcW w:type="dxa" w:w="1512"/>
          </w:tcPr>
          <w:p>
            <w:pPr>
              <w:jc w:val="center"/>
            </w:pPr>
            <w:r>
              <w:rPr>
                <w:rFonts w:ascii="BundesSans Office" w:hAnsi="BundesSans Office"/>
                <w:sz w:val="22"/>
              </w:rPr>
              <w:t>1</w:t>
            </w:r>
          </w:p>
        </w:tc>
        <w:tc>
          <w:tcPr>
            <w:tcW w:type="dxa" w:w="1512"/>
          </w:tcPr>
          <w:p>
            <w:pPr>
              <w:jc w:val="center"/>
            </w:pPr>
            <w:r>
              <w:rPr>
                <w:rFonts w:ascii="BundesSans Office" w:hAnsi="BundesSans Office"/>
                <w:sz w:val="22"/>
              </w:rPr>
              <w:t>Allradschlepper 150 PS, Stage V</w:t>
            </w:r>
          </w:p>
        </w:tc>
        <w:tc>
          <w:tcPr>
            <w:tcW w:type="dxa" w:w="1512"/>
          </w:tcPr>
          <w:p>
            <w:pPr>
              <w:jc w:val="left"/>
            </w:pPr>
            <w:r>
              <w:rPr>
                <w:rFonts w:ascii="BundesSans Office" w:hAnsi="BundesSans Office"/>
                <w:sz w:val="22"/>
              </w:rPr>
              <w:t>LAND &amp; FORST / agrarheute</w:t>
            </w:r>
          </w:p>
        </w:tc>
        <w:tc>
          <w:tcPr>
            <w:tcW w:type="dxa" w:w="1512"/>
          </w:tcPr>
          <w:p>
            <w:pPr>
              <w:jc w:val="center"/>
            </w:pPr>
            <w:r>
              <w:rPr>
                <w:rFonts w:ascii="BundesSans Office" w:hAnsi="BundesSans Office"/>
                <w:sz w:val="22"/>
              </w:rPr>
              <w:t>145.000 EUR</w:t>
            </w:r>
          </w:p>
        </w:tc>
        <w:tc>
          <w:tcPr>
            <w:tcW w:type="dxa" w:w="1512"/>
          </w:tcPr>
          <w:p>
            <w:pPr>
              <w:jc w:val="center"/>
            </w:pPr>
            <w:r>
              <w:rPr>
                <w:rFonts w:ascii="BundesSans Office" w:hAnsi="BundesSans Office"/>
                <w:sz w:val="22"/>
              </w:rPr>
              <w:t>https://www.landundforst.de/landtechnik/traktoren/neuer-traktor-so-stellen-schlepperkalkulation-566745</w:t>
            </w:r>
          </w:p>
        </w:tc>
        <w:tc>
          <w:tcPr>
            <w:tcW w:type="dxa" w:w="1512"/>
          </w:tcPr>
          <w:p>
            <w:pPr>
              <w:jc w:val="center"/>
            </w:pPr>
            <w:r>
              <w:rPr>
                <w:rFonts w:ascii="BundesSans Office" w:hAnsi="BundesSans Office"/>
                <w:sz w:val="22"/>
              </w:rPr>
              <w:t>17.04.2026</w:t>
            </w:r>
          </w:p>
        </w:tc>
      </w:tr>
      <w:tr>
        <w:tc>
          <w:tcPr>
            <w:tcW w:type="dxa" w:w="1512"/>
          </w:tcPr>
          <w:p>
            <w:pPr>
              <w:jc w:val="center"/>
            </w:pPr>
            <w:r>
              <w:rPr>
                <w:rFonts w:ascii="BundesSans Office" w:hAnsi="BundesSans Office"/>
                <w:sz w:val="22"/>
              </w:rPr>
              <w:t>2</w:t>
            </w:r>
          </w:p>
        </w:tc>
        <w:tc>
          <w:tcPr>
            <w:tcW w:type="dxa" w:w="1512"/>
          </w:tcPr>
          <w:p>
            <w:pPr>
              <w:jc w:val="left"/>
            </w:pPr>
            <w:r>
              <w:rPr>
                <w:rFonts w:ascii="BundesSans Office" w:hAnsi="BundesSans Office"/>
                <w:sz w:val="22"/>
              </w:rPr>
              <w:t>Leasing Allradschlepper (monatlich)</w:t>
            </w:r>
          </w:p>
        </w:tc>
        <w:tc>
          <w:tcPr>
            <w:tcW w:type="dxa" w:w="1512"/>
          </w:tcPr>
          <w:p>
            <w:pPr>
              <w:jc w:val="left"/>
            </w:pPr>
            <w:r>
              <w:rPr>
                <w:rFonts w:ascii="BundesSans Office" w:hAnsi="BundesSans Office"/>
                <w:sz w:val="22"/>
              </w:rPr>
              <w:t>leasinGo / abcfinance</w:t>
            </w:r>
          </w:p>
        </w:tc>
        <w:tc>
          <w:tcPr>
            <w:tcW w:type="dxa" w:w="1512"/>
          </w:tcPr>
          <w:p>
            <w:pPr>
              <w:jc w:val="center"/>
            </w:pPr>
            <w:r>
              <w:rPr>
                <w:rFonts w:ascii="BundesSans Office" w:hAnsi="BundesSans Office"/>
                <w:sz w:val="22"/>
              </w:rPr>
              <w:t>1.000 EUR/Monat</w:t>
            </w:r>
          </w:p>
        </w:tc>
        <w:tc>
          <w:tcPr>
            <w:tcW w:type="dxa" w:w="1512"/>
          </w:tcPr>
          <w:p>
            <w:pPr>
              <w:jc w:val="left"/>
            </w:pPr>
            <w:r>
              <w:rPr>
                <w:rFonts w:ascii="BundesSans Office" w:hAnsi="BundesSans Office"/>
                <w:sz w:val="22"/>
              </w:rPr>
              <w:t>https://www.leasingo.de/traktoren-mietkaufvergleich; https://www.abcfinance.de/leasing/traktor-leasingrechner/</w:t>
            </w:r>
          </w:p>
        </w:tc>
        <w:tc>
          <w:tcPr>
            <w:tcW w:type="dxa" w:w="1512"/>
          </w:tcPr>
          <w:p>
            <w:pPr>
              <w:jc w:val="center"/>
            </w:pPr>
            <w:r>
              <w:rPr>
                <w:rFonts w:ascii="BundesSans Office" w:hAnsi="BundesSans Office"/>
                <w:sz w:val="22"/>
              </w:rPr>
              <w:t>17.04.2026</w:t>
            </w:r>
          </w:p>
        </w:tc>
      </w:tr>
      <w:tr>
        <w:tc>
          <w:tcPr>
            <w:tcW w:type="dxa" w:w="1512"/>
          </w:tcPr>
          <w:p>
            <w:pPr>
              <w:jc w:val="center"/>
            </w:pPr>
            <w:r>
              <w:rPr>
                <w:rFonts w:ascii="BundesSans Office" w:hAnsi="BundesSans Office"/>
                <w:sz w:val="22"/>
              </w:rPr>
              <w:t>3</w:t>
            </w:r>
          </w:p>
        </w:tc>
        <w:tc>
          <w:tcPr>
            <w:tcW w:type="dxa" w:w="1512"/>
          </w:tcPr>
          <w:p>
            <w:pPr>
              <w:jc w:val="left"/>
            </w:pPr>
            <w:r>
              <w:rPr>
                <w:rFonts w:ascii="BundesSans Office" w:hAnsi="BundesSans Office"/>
                <w:sz w:val="22"/>
              </w:rPr>
              <w:t>Wartungskosten Traktor (jährlich)</w:t>
            </w:r>
          </w:p>
        </w:tc>
        <w:tc>
          <w:tcPr>
            <w:tcW w:type="dxa" w:w="1512"/>
          </w:tcPr>
          <w:p>
            <w:pPr>
              <w:jc w:val="left"/>
            </w:pPr>
            <w:r>
              <w:rPr>
                <w:rFonts w:ascii="BundesSans Office" w:hAnsi="BundesSans Office"/>
                <w:sz w:val="22"/>
              </w:rPr>
              <w:t>LAND &amp; FORST / sachsen.de</w:t>
            </w:r>
          </w:p>
        </w:tc>
        <w:tc>
          <w:tcPr>
            <w:tcW w:type="dxa" w:w="1512"/>
          </w:tcPr>
          <w:p>
            <w:pPr>
              <w:jc w:val="center"/>
            </w:pPr>
            <w:r>
              <w:rPr>
                <w:rFonts w:ascii="BundesSans Office" w:hAnsi="BundesSans Office"/>
                <w:sz w:val="22"/>
              </w:rPr>
              <w:t>6,30 EUR/h</w:t>
            </w:r>
          </w:p>
        </w:tc>
        <w:tc>
          <w:tcPr>
            <w:tcW w:type="dxa" w:w="1512"/>
          </w:tcPr>
          <w:p>
            <w:pPr>
              <w:jc w:val="center"/>
            </w:pPr>
            <w:r>
              <w:rPr>
                <w:rFonts w:ascii="BundesSans Office" w:hAnsi="BundesSans Office"/>
                <w:sz w:val="22"/>
              </w:rPr>
              <w:t>https://www.landundforst.de/landtechnik/traktoren/neuer-traktor-so-stellen-schlepperkalkulation-566745; https://www.sachsen.de/maschinen-und-reparaturkosten-14735</w:t>
            </w:r>
          </w:p>
        </w:tc>
        <w:tc>
          <w:tcPr>
            <w:tcW w:type="dxa" w:w="1512"/>
          </w:tcPr>
          <w:p>
            <w:pPr>
              <w:jc w:val="center"/>
            </w:pPr>
            <w:r>
              <w:rPr>
                <w:rFonts w:ascii="BundesSans Office" w:hAnsi="BundesSans Office"/>
                <w:sz w:val="22"/>
              </w:rPr>
              <w:t>17.04.2026</w:t>
            </w:r>
          </w:p>
        </w:tc>
      </w:tr>
      <w:tr>
        <w:tc>
          <w:tcPr>
            <w:tcW w:type="dxa" w:w="1512"/>
          </w:tcPr>
          <w:p>
            <w:pPr>
              <w:jc w:val="center"/>
            </w:pPr>
            <w:r>
              <w:rPr>
                <w:rFonts w:ascii="BundesSans Office" w:hAnsi="BundesSans Office"/>
                <w:sz w:val="22"/>
              </w:rPr>
              <w:t>4</w:t>
            </w:r>
          </w:p>
        </w:tc>
        <w:tc>
          <w:tcPr>
            <w:tcW w:type="dxa" w:w="1512"/>
          </w:tcPr>
          <w:p>
            <w:pPr>
              <w:jc w:val="center"/>
            </w:pPr>
            <w:r>
              <w:rPr>
                <w:rFonts w:ascii="BundesSans Office" w:hAnsi="BundesSans Office"/>
                <w:sz w:val="22"/>
              </w:rPr>
              <w:t>Dieselverbrauch Traktor (150 PS)</w:t>
            </w:r>
          </w:p>
        </w:tc>
        <w:tc>
          <w:tcPr>
            <w:tcW w:type="dxa" w:w="1512"/>
          </w:tcPr>
          <w:p>
            <w:pPr>
              <w:jc w:val="left"/>
            </w:pPr>
            <w:r>
              <w:rPr>
                <w:rFonts w:ascii="BundesSans Office" w:hAnsi="BundesSans Office"/>
                <w:sz w:val="22"/>
              </w:rPr>
              <w:t>LAND &amp; FORST</w:t>
            </w:r>
          </w:p>
        </w:tc>
        <w:tc>
          <w:tcPr>
            <w:tcW w:type="dxa" w:w="1512"/>
          </w:tcPr>
          <w:p>
            <w:pPr>
              <w:jc w:val="center"/>
            </w:pPr>
            <w:r>
              <w:rPr>
                <w:rFonts w:ascii="BundesSans Office" w:hAnsi="BundesSans Office"/>
                <w:sz w:val="22"/>
              </w:rPr>
              <w:t>14 l/h</w:t>
            </w:r>
          </w:p>
        </w:tc>
        <w:tc>
          <w:tcPr>
            <w:tcW w:type="dxa" w:w="1512"/>
          </w:tcPr>
          <w:p>
            <w:pPr>
              <w:jc w:val="center"/>
            </w:pPr>
            <w:r>
              <w:rPr>
                <w:rFonts w:ascii="BundesSans Office" w:hAnsi="BundesSans Office"/>
                <w:sz w:val="22"/>
              </w:rPr>
              <w:t>https://www.landundforst.de/landtechnik/traktoren/neuer-traktor-so-stellen-schlepperkalkulation-566745</w:t>
            </w:r>
          </w:p>
        </w:tc>
        <w:tc>
          <w:tcPr>
            <w:tcW w:type="dxa" w:w="1512"/>
          </w:tcPr>
          <w:p>
            <w:pPr>
              <w:jc w:val="center"/>
            </w:pPr>
            <w:r>
              <w:rPr>
                <w:rFonts w:ascii="BundesSans Office" w:hAnsi="BundesSans Office"/>
                <w:sz w:val="22"/>
              </w:rPr>
              <w:t>17.04.2026</w:t>
            </w:r>
          </w:p>
        </w:tc>
      </w:tr>
      <w:tr>
        <w:tc>
          <w:tcPr>
            <w:tcW w:type="dxa" w:w="1512"/>
          </w:tcPr>
          <w:p>
            <w:pPr>
              <w:jc w:val="center"/>
            </w:pPr>
            <w:r>
              <w:rPr>
                <w:rFonts w:ascii="BundesSans Office" w:hAnsi="BundesSans Office"/>
                <w:sz w:val="22"/>
              </w:rPr>
              <w:t>5</w:t>
            </w:r>
          </w:p>
        </w:tc>
        <w:tc>
          <w:tcPr>
            <w:tcW w:type="dxa" w:w="1512"/>
          </w:tcPr>
          <w:p>
            <w:pPr>
              <w:jc w:val="left"/>
            </w:pPr>
            <w:r>
              <w:rPr>
                <w:rFonts w:ascii="BundesSans Office" w:hAnsi="BundesSans Office"/>
                <w:sz w:val="22"/>
              </w:rPr>
              <w:t>Lohnunternehmer Winterdienst/Grünflächenpflege</w:t>
            </w:r>
          </w:p>
        </w:tc>
        <w:tc>
          <w:tcPr>
            <w:tcW w:type="dxa" w:w="1512"/>
          </w:tcPr>
          <w:p>
            <w:pPr>
              <w:jc w:val="left"/>
            </w:pPr>
            <w:r>
              <w:rPr>
                <w:rFonts w:ascii="BundesSans Office" w:hAnsi="BundesSans Office"/>
                <w:sz w:val="22"/>
              </w:rPr>
              <w:t>BerufExperten / MyHammer / daibau</w:t>
            </w:r>
          </w:p>
        </w:tc>
        <w:tc>
          <w:tcPr>
            <w:tcW w:type="dxa" w:w="1512"/>
          </w:tcPr>
          <w:p>
            <w:pPr>
              <w:jc w:val="center"/>
            </w:pPr>
            <w:r>
              <w:rPr>
                <w:rFonts w:ascii="BundesSans Office" w:hAnsi="BundesSans Office"/>
                <w:sz w:val="22"/>
              </w:rPr>
              <w:t>60 EUR/h</w:t>
            </w:r>
          </w:p>
        </w:tc>
        <w:tc>
          <w:tcPr>
            <w:tcW w:type="dxa" w:w="1512"/>
          </w:tcPr>
          <w:p>
            <w:pPr>
              <w:jc w:val="left"/>
            </w:pPr>
            <w:r>
              <w:rPr>
                <w:rFonts w:ascii="BundesSans Office" w:hAnsi="BundesSans Office"/>
                <w:sz w:val="22"/>
              </w:rPr>
              <w:t>https://berufexperten.de/preise/winterdienst; https://www.my-hammer.de/garten-aussenbereich/preisradar/was-kostet-winterdienst; https://www.daibau.de/baukostenrechner/winterdienst</w:t>
            </w:r>
          </w:p>
        </w:tc>
        <w:tc>
          <w:tcPr>
            <w:tcW w:type="dxa" w:w="1512"/>
          </w:tcPr>
          <w:p>
            <w:pPr>
              <w:jc w:val="center"/>
            </w:pPr>
            <w:r>
              <w:rPr>
                <w:rFonts w:ascii="BundesSans Office" w:hAnsi="BundesSans Office"/>
                <w:sz w:val="22"/>
              </w:rPr>
              <w:t>17.04.2026</w:t>
            </w:r>
          </w:p>
        </w:tc>
      </w:tr>
    </w:tbl>
    <w:p>
      <w:pPr>
        <w:jc w:val="left"/>
      </w:pPr>
      <w:r>
        <w:rPr>
          <w:rFonts w:ascii="BundesSans Office" w:hAnsi="BundesSans Office"/>
          <w:i/>
          <w:sz w:val="18"/>
        </w:rPr>
        <w:t>Tabelle 11: Marktrecherche Allradschlepper (Stand April 2026) – mit Quellenlinks</w:t>
      </w:r>
    </w:p>
    <w:p>
      <w:pPr>
        <w:spacing w:line="300" w:lineRule="auto"/>
        <w:jc w:val="both"/>
      </w:pPr>
      <w:r>
        <w:rPr>
          <w:rFonts w:ascii="BundesSans Office" w:hAnsi="BundesSans Office"/>
          <w:sz w:val="22"/>
        </w:rPr>
        <w:t>Alle Preise und Kostensätze basieren auf Webrecherchen vom 17. April 2026. Die URLs in der Tabelle ermöglichen eine unabhängige Überprüfung der Quellen. Bitte beachten Sie, dass Preise im Markt schwanken und die angegebenen Werte Richtwerte darstellen.</w:t>
      </w:r>
    </w:p>
    <w:sectPr w:rsidR="00336EB7" w:rsidRPr="00D82904" w:rsidSect="00E3107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CFD7" w14:textId="77777777" w:rsidR="001978B9" w:rsidRDefault="001978B9">
      <w:r>
        <w:separator/>
      </w:r>
    </w:p>
  </w:endnote>
  <w:endnote w:type="continuationSeparator" w:id="0">
    <w:p w14:paraId="1B200CF3" w14:textId="77777777" w:rsidR="001978B9" w:rsidRDefault="00197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A39B" w14:textId="77777777" w:rsidR="001978B9" w:rsidRDefault="001978B9">
      <w:r>
        <w:separator/>
      </w:r>
    </w:p>
  </w:footnote>
  <w:footnote w:type="continuationSeparator" w:id="0">
    <w:p w14:paraId="6396A353" w14:textId="77777777" w:rsidR="001978B9" w:rsidRDefault="00197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r>
      <w:t>WU Allradschlepper BwDLZ Hamburg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t>WU Allradschlepper BwDLZ Hamburg</w:t>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978B9"/>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C3EAE"/>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85D7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1079"/>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4.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2.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3.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4.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434</Words>
  <Characters>3333</Characters>
  <Application>Microsoft Office Word</Application>
  <DocSecurity>0</DocSecurity>
  <Lines>256</Lines>
  <Paragraphs>139</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9</cp:revision>
  <dcterms:created xsi:type="dcterms:W3CDTF">2025-10-09T08:03:00Z</dcterms:created>
  <dcterms:modified xsi:type="dcterms:W3CDTF">2026-04-17T07:34:00Z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