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t>WU „Tartanbahnreinigung BwDLZ Mayen“</w:t>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t>JJMMTT_Tartanbahnreinigung BwDLZ Mayen_Version_1</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pPr>
        <w:spacing w:before="240" w:after="120"/>
      </w:pPr>
      <w:r>
        <w:rPr>
          <w:rFonts w:ascii="BundesSans Office" w:hAnsi="BundesSans Office"/>
          <w:b/>
          <w:sz w:val="26"/>
        </w:rPr>
        <w:t>Überblick</w:t>
      </w:r>
    </w:p>
    <w:p>
      <w:pPr>
        <w:spacing w:before="120" w:after="60"/>
      </w:pPr>
      <w:r>
        <w:rPr>
          <w:rFonts w:ascii="BundesSans Office" w:hAnsi="BundesSans Office"/>
          <w:b/>
          <w:sz w:val="24"/>
        </w:rPr>
        <w:t>Betrachtungsgegenstand</w:t>
      </w:r>
    </w:p>
    <w:p>
      <w:pPr>
        <w:spacing w:line="300" w:lineRule="auto" w:after="120"/>
        <w:jc w:val="both"/>
      </w:pPr>
      <w:r>
        <w:rPr>
          <w:rFonts w:ascii="BundesSans Office" w:hAnsi="BundesSans Office"/>
          <w:sz w:val="22"/>
        </w:rPr>
        <w:t>Der BwDLZ Mayen benötigt an insgesamt 12 Liegenschaften im Zuständigkeitsbereich die fachgerechte Reinigung und Instandhaltung von Tartanflächen. Dies umfasst fünf Sportplätze mit Tartanlaufbahnen (zusammen ca. 25.000 m² Laufbahnfläche), vier Kleinfeldspielfelder mit je 22 m × 44 m Fläche (insgesamt 3.872 m²) und drei Prallschutzflächen vor MilFit-Containern mit je 10 m × 10 m (300 m²). Die Gesamtfläche beträgt ca. 81.672 m². Diese Flächen unterliegen regelmäßigen Reinigungszyklen: Sportplätze alle zwei Jahre, übrige Flächen alle drei Jahre. Diese Zyklen sind erforderlich zur Beseitigung von Moos-, Algen- und Verschmutzungsbewuchs, der durch die waldreiche Umgebung bedingt ist. Ohne regelmäßige Reinigung würde die Rutschfestigkeit der Beläge abnehmen und die Unfallverhütung gefährdet.</w:t>
      </w:r>
    </w:p>
    <w:p>
      <w:pPr>
        <w:spacing w:before="120" w:after="60"/>
      </w:pPr>
      <w:r>
        <w:rPr>
          <w:rFonts w:ascii="BundesSans Office" w:hAnsi="BundesSans Office"/>
          <w:b/>
          <w:sz w:val="24"/>
        </w:rPr>
        <w:t>Entscheidungsvorschlag (Zusammenfassung)</w:t>
      </w:r>
    </w:p>
    <w:p>
      <w:pPr>
        <w:spacing w:line="300" w:lineRule="auto" w:after="120"/>
        <w:jc w:val="both"/>
      </w:pPr>
      <w:r>
        <w:rPr>
          <w:rFonts w:ascii="BundesSans Office" w:hAnsi="BundesSans Office"/>
          <w:sz w:val="22"/>
        </w:rPr>
        <w:t>Auf Grundlage der durchgeführten Wirtschaftlichkeitsuntersuchung wird die Wahl von Option 3 (Fahrzeugmiete + Bundeswehr-Personal) empfohlen. Diese Option bietet den niedrigsten Kapitalwert von 606.714 EUR (einschließlich Risikowert) über den 10-jährigen Betrachtungszeitraum. Sie spart 251.727 EUR (29 Prozent) gegenüber Option 1 (Eigenbetrieb mit Maschinenkauf) und 3.281.900 EUR (84 Prozent) gegenüber Option 4 (externe Dienstleistung). Darüber hinaus bietet Option 3 maximale operative Flexibilität ohne Kapitalbindung für eine teure Spezialmaschine. Die Sensitivitätsanalyse bestätigt, dass Option 3 auch bei Preiserhöhungen robust bleibt.</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left"/>
            </w:pPr>
            <w:r>
              <w:rPr>
                <w:rFonts w:ascii="BundesSans Office" w:hAnsi="BundesSans Office"/>
                <w:sz w:val="22"/>
              </w:rPr>
              <w:t>Option 1: Eigenbetrieb</w:t>
            </w:r>
          </w:p>
        </w:tc>
        <w:tc>
          <w:tcPr>
            <w:tcW w:type="dxa" w:w="3024"/>
          </w:tcPr>
          <w:p>
            <w:pPr>
              <w:jc w:val="center"/>
            </w:pPr>
            <w:r>
              <w:rPr>
                <w:rFonts w:ascii="BundesSans Office" w:hAnsi="BundesSans Office"/>
                <w:sz w:val="22"/>
              </w:rPr>
              <w:t>805.441 EUR</w:t>
            </w:r>
          </w:p>
        </w:tc>
        <w:tc>
          <w:tcPr>
            <w:tcW w:type="dxa" w:w="3024"/>
          </w:tcPr>
          <w:p>
            <w:pPr>
              <w:jc w:val="center"/>
            </w:pPr>
            <w:r>
              <w:rPr>
                <w:rFonts w:ascii="BundesSans Office" w:hAnsi="BundesSans Office"/>
                <w:sz w:val="22"/>
              </w:rPr>
              <w:t>858.441 EUR</w:t>
            </w:r>
          </w:p>
        </w:tc>
      </w:tr>
      <w:tr>
        <w:tc>
          <w:tcPr>
            <w:tcW w:type="dxa" w:w="3024"/>
            <w:shd w:fill="E8F0F8"/>
          </w:tcPr>
          <w:p>
            <w:pPr>
              <w:jc w:val="left"/>
            </w:pPr>
            <w:r>
              <w:rPr>
                <w:rFonts w:ascii="BundesSans Office" w:hAnsi="BundesSans Office"/>
                <w:b/>
                <w:sz w:val="22"/>
              </w:rPr>
              <w:t>Option 3: Fahrzeugmiete (EMPFOHLEN)</w:t>
            </w:r>
          </w:p>
        </w:tc>
        <w:tc>
          <w:tcPr>
            <w:tcW w:type="dxa" w:w="3024"/>
            <w:shd w:fill="E8F0F8"/>
          </w:tcPr>
          <w:p>
            <w:pPr>
              <w:jc w:val="center"/>
            </w:pPr>
            <w:r>
              <w:rPr>
                <w:rFonts w:ascii="BundesSans Office" w:hAnsi="BundesSans Office"/>
                <w:b/>
                <w:sz w:val="22"/>
              </w:rPr>
              <w:t>589.714 EUR</w:t>
            </w:r>
          </w:p>
        </w:tc>
        <w:tc>
          <w:tcPr>
            <w:tcW w:type="dxa" w:w="3024"/>
            <w:shd w:fill="E8F0F8"/>
          </w:tcPr>
          <w:p>
            <w:pPr>
              <w:jc w:val="center"/>
            </w:pPr>
            <w:r>
              <w:rPr>
                <w:rFonts w:ascii="BundesSans Office" w:hAnsi="BundesSans Office"/>
                <w:b/>
                <w:sz w:val="22"/>
              </w:rPr>
              <w:t>606.714 EUR</w:t>
            </w:r>
          </w:p>
        </w:tc>
      </w:tr>
      <w:tr>
        <w:tc>
          <w:tcPr>
            <w:tcW w:type="dxa" w:w="3024"/>
          </w:tcPr>
          <w:p>
            <w:pPr>
              <w:jc w:val="left"/>
            </w:pPr>
            <w:r>
              <w:rPr>
                <w:rFonts w:ascii="BundesSans Office" w:hAnsi="BundesSans Office"/>
                <w:sz w:val="22"/>
              </w:rPr>
              <w:t>Option 4: Externe Dienstleistung</w:t>
            </w:r>
          </w:p>
        </w:tc>
        <w:tc>
          <w:tcPr>
            <w:tcW w:type="dxa" w:w="3024"/>
          </w:tcPr>
          <w:p>
            <w:pPr>
              <w:jc w:val="center"/>
            </w:pPr>
            <w:r>
              <w:rPr>
                <w:rFonts w:ascii="BundesSans Office" w:hAnsi="BundesSans Office"/>
                <w:sz w:val="22"/>
              </w:rPr>
              <w:t>3.381.614 EUR</w:t>
            </w:r>
          </w:p>
        </w:tc>
        <w:tc>
          <w:tcPr>
            <w:tcW w:type="dxa" w:w="3024"/>
          </w:tcPr>
          <w:p>
            <w:pPr>
              <w:jc w:val="center"/>
            </w:pPr>
            <w:r>
              <w:rPr>
                <w:rFonts w:ascii="BundesSans Office" w:hAnsi="BundesSans Office"/>
                <w:sz w:val="22"/>
              </w:rPr>
              <w:t>3.888.614 EUR</w:t>
            </w:r>
          </w:p>
        </w:tc>
      </w:tr>
    </w:tbl>
    <w:p>
      <w:pPr>
        <w:spacing w:before="60" w:after="180"/>
        <w:jc w:val="left"/>
      </w:pPr>
      <w:r>
        <w:rPr>
          <w:rFonts w:ascii="BundesSans Office" w:hAnsi="BundesSans Office"/>
          <w:i/>
          <w:sz w:val="18"/>
        </w:rPr>
        <w:t>Tabelle 1: Entscheidungsvorschlag – Übersicht der Optionen</w:t>
      </w:r>
    </w:p>
    <w:p>
      <w:r>
        <w:br w:type="page"/>
      </w:r>
    </w:p>
    <w:p>
      <w:pPr>
        <w:spacing w:before="240" w:after="120"/>
      </w:pPr>
      <w:r>
        <w:rPr>
          <w:rFonts w:ascii="BundesSans Office" w:hAnsi="BundesSans Office"/>
          <w:b/>
          <w:sz w:val="26"/>
        </w:rPr>
        <w:t>1 Funktionale Bedarfsforderung, Bedarfsprognose und Rahmenbedingungen</w:t>
      </w:r>
    </w:p>
    <w:p>
      <w:pPr>
        <w:spacing w:before="120" w:after="60"/>
      </w:pPr>
      <w:r>
        <w:rPr>
          <w:rFonts w:ascii="BundesSans Office" w:hAnsi="BundesSans Office"/>
          <w:b/>
          <w:sz w:val="24"/>
        </w:rPr>
        <w:t>1.1 Funktionale Bedarfsforderung</w:t>
      </w:r>
    </w:p>
    <w:p>
      <w:pPr>
        <w:spacing w:line="300" w:lineRule="auto" w:after="120"/>
        <w:jc w:val="both"/>
      </w:pPr>
      <w:r>
        <w:rPr>
          <w:rFonts w:ascii="BundesSans Office" w:hAnsi="BundesSans Office"/>
          <w:sz w:val="22"/>
        </w:rPr>
        <w:t>Die funktionale Bedarfsforderung des BwDLZ Mayen ist die regelmäßige Reinigung und Instandhaltung von insgesamt 81.672 m² Tartanflächen an 12 Liegenschaften im Zuständigkeitsbereich. Die Maßnahme ist erforderlich zur Gewährleistung der Sportplatzinfrastruktur und zur Unfallverhütung. Konkret umfasst die Bedarfsforderung: (1) Reinigung von fünf Sportplätzen mit Tartanlaufbahnen (ca. 25.000 m²) alle zwei Jahre; (2) Reinigung von vier Kleinfeldspielfeldern à 22 m × 44 m (3.872 m²) alle drei Jahre; (3) Reinigung von drei Prallschutzflächen vor MilFit-Containern (300 m²) alle drei Jahre. Die durchschnittliche Reinigungshäufigkeit beträgt 0,67 Einsätze pro Jahr (basierend auf 2-jährigem Zyklus für Sportplätze, 3-jährigem für übrige Flächen). Die Reinigung muss mit Hochdruckverfahren (mind. 250 bar) erfolgen und darf ausschließlich Wasser verwenden (keine Chemikalien), um die Tartanbeläge zu schonen.</w:t>
      </w:r>
    </w:p>
    <w:p>
      <w:pPr>
        <w:spacing w:before="120" w:after="60"/>
      </w:pPr>
      <w:r>
        <w:rPr>
          <w:rFonts w:ascii="BundesSans Office" w:hAnsi="BundesSans Office"/>
          <w:b/>
          <w:sz w:val="24"/>
        </w:rPr>
        <w:t>1.2 Bedarfsprognose</w:t>
      </w:r>
    </w:p>
    <w:p>
      <w:pPr>
        <w:spacing w:line="300" w:lineRule="auto" w:after="120"/>
        <w:jc w:val="both"/>
      </w:pPr>
      <w:r>
        <w:rPr>
          <w:rFonts w:ascii="BundesSans Office" w:hAnsi="BundesSans Office"/>
          <w:sz w:val="22"/>
        </w:rPr>
        <w:t>Der Bedarf wird über den gesamten Betrachtungszeitraum von zehn Jahren (2026 bis 2035) als konstant eingeschätzt. Es ist nicht mit einer wesentlichen Änderung des Liegenschaftsbestands zu rechnen. Die 12 Liegenschaften sind strukturell festgelegt und unterliegen keiner geplanten Auflösung oder Erweiterung. Ebenso bleibt die Reinigungshäufigkeit stabil, da die Flächen und der Standort (waldreich) unverändert bleiben. Die Bedarfsprognose geht daher von konstanten Anforderungen aus.</w:t>
      </w:r>
    </w:p>
    <w:p>
      <w:pPr>
        <w:spacing w:before="120" w:after="60"/>
      </w:pPr>
      <w:r>
        <w:rPr>
          <w:rFonts w:ascii="BundesSans Office" w:hAnsi="BundesSans Office"/>
          <w:b/>
          <w:sz w:val="24"/>
        </w:rPr>
        <w:t>1.3 Rahmenbedingungen</w:t>
      </w:r>
    </w:p>
    <w:p>
      <w:pPr>
        <w:spacing w:before="60" w:after="40"/>
      </w:pPr>
      <w:r>
        <w:rPr>
          <w:rFonts w:ascii="BundesSans Office" w:hAnsi="BundesSans Office"/>
          <w:b/>
          <w:sz w:val="24"/>
        </w:rPr>
        <w:t>1.3.1 Rechtliche Rahmenbedingungen</w:t>
      </w:r>
    </w:p>
    <w:p>
      <w:pPr>
        <w:spacing w:line="300" w:lineRule="auto" w:after="120"/>
        <w:jc w:val="both"/>
      </w:pPr>
      <w:r>
        <w:rPr>
          <w:rFonts w:ascii="BundesSans Office" w:hAnsi="BundesSans Office"/>
          <w:sz w:val="22"/>
        </w:rPr>
        <w:t>Entfällt.</w:t>
      </w:r>
    </w:p>
    <w:p>
      <w:pPr>
        <w:spacing w:before="60" w:after="40"/>
      </w:pPr>
      <w:r>
        <w:rPr>
          <w:rFonts w:ascii="BundesSans Office" w:hAnsi="BundesSans Office"/>
          <w:b/>
          <w:sz w:val="24"/>
        </w:rPr>
        <w:t>1.3.2 Technische Rahmenbedingungen</w:t>
      </w:r>
    </w:p>
    <w:p>
      <w:pPr>
        <w:spacing w:line="300" w:lineRule="auto" w:after="120"/>
        <w:jc w:val="both"/>
      </w:pPr>
      <w:r>
        <w:rPr>
          <w:rFonts w:ascii="BundesSans Office" w:hAnsi="BundesSans Office"/>
          <w:sz w:val="22"/>
        </w:rPr>
        <w:t>Die Reinigung von Tartanflächen erfordert spezifische technische Anforderungen: (1) Hochdruckverfahren mit mindestens 250 bar Betriebsdruck zur Beseitigung von Moos, Algen und Verschmutzungen; (2) Schmutzwasserfassung zur Vermeidung von Wasserverseuchung und zur Einhaltung von Umweltstandards; (3) Verwendung von ausschließlich Wasser ohne chemische Zusätze (insbesondere ohne Tensiden), um die Tartanbeläge nicht zu beschädigen; (4) Verwendung von weichen Borsten und schonenden Reinigungsmitteln, um Materialabrieb zu vermeiden. Diese Anforderungen schließen einfache Reinigungsmethoden aus und erfordern spezialisierte Maschinen und Fachkompetenz.</w:t>
      </w:r>
    </w:p>
    <w:p>
      <w:pPr>
        <w:spacing w:before="60" w:after="40"/>
      </w:pPr>
      <w:r>
        <w:rPr>
          <w:rFonts w:ascii="BundesSans Office" w:hAnsi="BundesSans Office"/>
          <w:b/>
          <w:sz w:val="24"/>
        </w:rPr>
        <w:t>1.3.3 Zeitliche Rahmenbedingungen</w:t>
      </w:r>
    </w:p>
    <w:p>
      <w:pPr>
        <w:spacing w:line="300" w:lineRule="auto" w:after="120"/>
        <w:jc w:val="both"/>
      </w:pPr>
      <w:r>
        <w:rPr>
          <w:rFonts w:ascii="BundesSans Office" w:hAnsi="BundesSans Office"/>
          <w:sz w:val="22"/>
        </w:rPr>
        <w:t>Die Maßnahme soll ab Dezember 2026 beginnen. Dies ergibt sich aus Haushaltsplanungsprozessen und der Notwendigkeit, die Tartanflächen bis Jahresende 2026 gereinigt zu haben.</w:t>
      </w:r>
    </w:p>
    <w:p>
      <w:r>
        <w:br w:type="page"/>
      </w:r>
    </w:p>
    <w:p>
      <w:pPr>
        <w:spacing w:before="240" w:after="120"/>
      </w:pPr>
      <w:r>
        <w:rPr>
          <w:rFonts w:ascii="BundesSans Office" w:hAnsi="BundesSans Office"/>
          <w:b/>
          <w:sz w:val="26"/>
        </w:rPr>
        <w:t>2 Ausgangslage</w:t>
      </w:r>
    </w:p>
    <w:p>
      <w:pPr>
        <w:spacing w:before="120" w:after="60"/>
      </w:pPr>
      <w:r>
        <w:rPr>
          <w:rFonts w:ascii="BundesSans Office" w:hAnsi="BundesSans Office"/>
          <w:b/>
          <w:sz w:val="24"/>
        </w:rPr>
        <w:t>2.1 Ablauforganisation</w:t>
      </w:r>
    </w:p>
    <w:p>
      <w:pPr>
        <w:spacing w:line="300" w:lineRule="auto" w:after="120"/>
        <w:jc w:val="both"/>
      </w:pPr>
      <w:r>
        <w:rPr>
          <w:rFonts w:ascii="BundesSans Office" w:hAnsi="BundesSans Office"/>
          <w:sz w:val="22"/>
        </w:rPr>
        <w:t>Die Ablauforganisation richtet sich nach der gewählten Option. Grundsätzlich müssen folgende Schritte erfolgen: (1) Planung der Reinigungseinsätze; (2) Vorbereitung der Flächen und Absperrung; (3) Durchführung der Hochdruckreinigung; (4) Entsorgung des Schmutzwassers; (5) Abnahme und Dokumentation. Die Häufigkeit richtet sich nach dem festgestellten Zyklus.</w:t>
      </w:r>
    </w:p>
    <w:p>
      <w:pPr>
        <w:spacing w:before="120" w:after="60"/>
      </w:pPr>
      <w:r>
        <w:rPr>
          <w:rFonts w:ascii="BundesSans Office" w:hAnsi="BundesSans Office"/>
          <w:b/>
          <w:sz w:val="24"/>
        </w:rPr>
        <w:t>2.2 Aufbauorganisation</w:t>
      </w:r>
    </w:p>
    <w:p>
      <w:pPr>
        <w:spacing w:line="300" w:lineRule="auto" w:after="120"/>
        <w:jc w:val="both"/>
      </w:pPr>
      <w:r>
        <w:rPr>
          <w:rFonts w:ascii="BundesSans Office" w:hAnsi="BundesSans Office"/>
          <w:sz w:val="22"/>
        </w:rPr>
        <w:t>Verantwortlich für die Umsetzung ist der BwDLZ Mayen. Je nach Option können unterschiedliche Organisationseinheiten beteiligt sein: Bei Eigenbetrieb das Sportplatzpersonal; bei Miete das Sportplatzpersonal mit externem Fahrzeug; bei externer Vergabe der Dienstleister mit BW-Koordination.</w:t>
      </w:r>
    </w:p>
    <w:p>
      <w:pPr>
        <w:spacing w:before="120" w:after="60"/>
      </w:pPr>
      <w:r>
        <w:rPr>
          <w:rFonts w:ascii="BundesSans Office" w:hAnsi="BundesSans Office"/>
          <w:b/>
          <w:sz w:val="24"/>
        </w:rPr>
        <w:t>2.3 Personal</w:t>
      </w:r>
    </w:p>
    <w:p>
      <w:pPr>
        <w:spacing w:line="300" w:lineRule="auto" w:after="120"/>
        <w:jc w:val="both"/>
      </w:pPr>
      <w:r>
        <w:rPr>
          <w:rFonts w:ascii="BundesSans Office" w:hAnsi="BundesSans Office"/>
          <w:sz w:val="22"/>
        </w:rPr>
        <w:t>Bei Eigenbetrieb und Fahrzeugmiete wird 0,5 VZÄ in der Entgeltgruppe E5 benötigt für Bedienung, Einsatzplanung und Abnahme. Bei externer Dienstleistung wird minimal 0,1 VZÄ E9b für Koordination und Abnahme erforderlich.</w:t>
      </w:r>
    </w:p>
    <w:p>
      <w:pPr>
        <w:spacing w:before="120" w:after="60"/>
      </w:pPr>
      <w:r>
        <w:rPr>
          <w:rFonts w:ascii="BundesSans Office" w:hAnsi="BundesSans Office"/>
          <w:b/>
          <w:sz w:val="24"/>
        </w:rPr>
        <w:t>2.4 Material</w:t>
      </w:r>
    </w:p>
    <w:p>
      <w:pPr>
        <w:spacing w:line="300" w:lineRule="auto" w:after="120"/>
        <w:jc w:val="both"/>
      </w:pPr>
      <w:r>
        <w:rPr>
          <w:rFonts w:ascii="BundesSans Office" w:hAnsi="BundesSans Office"/>
          <w:sz w:val="22"/>
        </w:rPr>
        <w:t>Bei Eigenbetrieb: Hochdruckreinigungsmaschine, Verschleißteile, Kraft- und Schmierstoffe. Bei Miete: Mietfahrzeug mit integrierter Maschine, Verschleißteile. Bei externer Dienstleistung: Keine BW-Materialbeschaffung erforderlich.</w:t>
      </w:r>
    </w:p>
    <w:p>
      <w:pPr>
        <w:spacing w:before="120" w:after="60"/>
      </w:pPr>
      <w:r>
        <w:rPr>
          <w:rFonts w:ascii="BundesSans Office" w:hAnsi="BundesSans Office"/>
          <w:b/>
          <w:sz w:val="24"/>
        </w:rPr>
        <w:t>2.5 Infrastruktur</w:t>
      </w:r>
    </w:p>
    <w:p>
      <w:pPr>
        <w:spacing w:line="300" w:lineRule="auto" w:after="120"/>
        <w:jc w:val="both"/>
      </w:pPr>
      <w:r>
        <w:rPr>
          <w:rFonts w:ascii="BundesSans Office" w:hAnsi="BundesSans Office"/>
          <w:sz w:val="22"/>
        </w:rPr>
        <w:t>Bei Eigenbetrieb: Lagerfläche für die Maschine und Kleingeräte erforderlich. Bei Miete: Stellfläche für Mietfahrzeug. Bei externer Dienstleistung: Keine zusätzliche Infrastruktur erforderlich.</w:t>
      </w:r>
    </w:p>
    <w:p>
      <w:pPr>
        <w:spacing w:before="120" w:after="60"/>
      </w:pPr>
      <w:r>
        <w:rPr>
          <w:rFonts w:ascii="BundesSans Office" w:hAnsi="BundesSans Office"/>
          <w:b/>
          <w:sz w:val="24"/>
        </w:rPr>
        <w:t>2.6 Sach- und Dienstleistungen</w:t>
      </w:r>
    </w:p>
    <w:p>
      <w:pPr>
        <w:spacing w:line="300" w:lineRule="auto" w:after="120"/>
        <w:jc w:val="both"/>
      </w:pPr>
      <w:r>
        <w:rPr>
          <w:rFonts w:ascii="BundesSans Office" w:hAnsi="BundesSans Office"/>
          <w:sz w:val="22"/>
        </w:rPr>
        <w:t>Bei Eigenbetrieb: Wartung und Reparatur durch spezialisierte Werkstätten, Ersatzteilbeschaffung. Bei Miete: Fahrzeugmiete durch Dienstleister, Wartung und Reparatur durch Vermieter. Bei externer Dienstleistung: Komplette Reinigungsleistung durch Fachbetrieb.</w:t>
      </w:r>
    </w:p>
    <w:p>
      <w:pPr>
        <w:spacing w:before="120" w:after="60"/>
      </w:pPr>
      <w:r>
        <w:rPr>
          <w:rFonts w:ascii="BundesSans Office" w:hAnsi="BundesSans Office"/>
          <w:b/>
          <w:sz w:val="24"/>
        </w:rPr>
        <w:t>2.7 Ggf. Einnahmen</w:t>
      </w:r>
    </w:p>
    <w:p>
      <w:pPr>
        <w:spacing w:line="300" w:lineRule="auto" w:after="120"/>
        <w:jc w:val="both"/>
      </w:pPr>
      <w:r>
        <w:rPr>
          <w:rFonts w:ascii="BundesSans Office" w:hAnsi="BundesSans Office"/>
          <w:sz w:val="22"/>
        </w:rPr>
        <w:t>Keine Einnahmen.</w:t>
      </w:r>
    </w:p>
    <w:p>
      <w:pPr>
        <w:spacing w:before="120" w:after="60"/>
      </w:pPr>
      <w:r>
        <w:rPr>
          <w:rFonts w:ascii="BundesSans Office" w:hAnsi="BundesSans Office"/>
          <w:b/>
          <w:sz w:val="24"/>
        </w:rPr>
        <w:t>2.8 Haushalterische Darstellung</w:t>
      </w:r>
    </w:p>
    <w:p>
      <w:pPr>
        <w:spacing w:line="300" w:lineRule="auto" w:after="120"/>
        <w:jc w:val="both"/>
      </w:pPr>
      <w:r>
        <w:rPr>
          <w:rFonts w:ascii="BundesSans Office" w:hAnsi="BundesSans Office"/>
          <w:sz w:val="22"/>
        </w:rPr>
        <w:t>Die folgende Tabelle zeigt die Kostenstruktur für die Ausgangslage (Jahr 1):</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Kostenart</w:t>
            </w:r>
          </w:p>
        </w:tc>
        <w:tc>
          <w:tcPr>
            <w:tcW w:type="dxa" w:w="2268"/>
            <w:shd w:fill="D3D3D3"/>
          </w:tcPr>
          <w:p>
            <w:pPr>
              <w:jc w:val="center"/>
            </w:pPr>
            <w:r>
              <w:rPr>
                <w:rFonts w:ascii="BundesSans Office" w:hAnsi="BundesSans Office"/>
                <w:b/>
                <w:sz w:val="22"/>
              </w:rPr>
              <w:t>Kapitel</w:t>
            </w:r>
          </w:p>
        </w:tc>
        <w:tc>
          <w:tcPr>
            <w:tcW w:type="dxa" w:w="2268"/>
            <w:shd w:fill="D3D3D3"/>
          </w:tcPr>
          <w:p>
            <w:pPr>
              <w:jc w:val="center"/>
            </w:pPr>
            <w:r>
              <w:rPr>
                <w:rFonts w:ascii="BundesSans Office" w:hAnsi="BundesSans Office"/>
                <w:b/>
                <w:sz w:val="22"/>
              </w:rPr>
              <w:t>Betrag (EUR)</w:t>
            </w:r>
          </w:p>
        </w:tc>
        <w:tc>
          <w:tcPr>
            <w:tcW w:type="dxa" w:w="2268"/>
            <w:shd w:fill="D3D3D3"/>
          </w:tcPr>
          <w:p>
            <w:pPr>
              <w:jc w:val="center"/>
            </w:pPr>
            <w:r>
              <w:rPr>
                <w:rFonts w:ascii="BundesSans Office" w:hAnsi="BundesSans Office"/>
                <w:b/>
                <w:sz w:val="22"/>
              </w:rPr>
              <w:t>Bemerkung</w:t>
            </w:r>
          </w:p>
        </w:tc>
      </w:tr>
      <w:tr>
        <w:tc>
          <w:tcPr>
            <w:tcW w:type="dxa" w:w="2268"/>
          </w:tcPr>
          <w:p>
            <w:pPr>
              <w:jc w:val="left"/>
            </w:pPr>
            <w:r>
              <w:rPr>
                <w:rFonts w:ascii="BundesSans Office" w:hAnsi="BundesSans Office"/>
                <w:sz w:val="22"/>
              </w:rPr>
              <w:t>Personal (0,5 VZÄ E5)</w:t>
            </w:r>
          </w:p>
        </w:tc>
        <w:tc>
          <w:tcPr>
            <w:tcW w:type="dxa" w:w="2268"/>
          </w:tcPr>
          <w:p>
            <w:pPr>
              <w:jc w:val="left"/>
            </w:pPr>
            <w:r>
              <w:rPr>
                <w:rFonts w:ascii="BundesSans Office" w:hAnsi="BundesSans Office"/>
                <w:sz w:val="22"/>
              </w:rPr>
              <w:t>2.3</w:t>
            </w:r>
          </w:p>
        </w:tc>
        <w:tc>
          <w:tcPr>
            <w:tcW w:type="dxa" w:w="2268"/>
          </w:tcPr>
          <w:p>
            <w:pPr>
              <w:jc w:val="center"/>
            </w:pPr>
            <w:r>
              <w:rPr>
                <w:rFonts w:ascii="BundesSans Office" w:hAnsi="BundesSans Office"/>
                <w:sz w:val="22"/>
              </w:rPr>
              <w:t>23.760</w:t>
            </w:r>
          </w:p>
        </w:tc>
        <w:tc>
          <w:tcPr>
            <w:tcW w:type="dxa" w:w="2268"/>
          </w:tcPr>
          <w:p>
            <w:pPr>
              <w:jc w:val="left"/>
            </w:pPr>
            <w:r>
              <w:rPr>
                <w:rFonts w:ascii="BundesSans Office" w:hAnsi="BundesSans Office"/>
                <w:sz w:val="22"/>
              </w:rPr>
              <w:t>Jahreskosten</w:t>
            </w:r>
          </w:p>
        </w:tc>
      </w:tr>
      <w:tr>
        <w:tc>
          <w:tcPr>
            <w:tcW w:type="dxa" w:w="2268"/>
          </w:tcPr>
          <w:p>
            <w:pPr>
              <w:jc w:val="left"/>
            </w:pPr>
            <w:r>
              <w:rPr>
                <w:rFonts w:ascii="BundesSans Office" w:hAnsi="BundesSans Office"/>
                <w:sz w:val="22"/>
              </w:rPr>
              <w:t>Material/Verschleiß</w:t>
            </w:r>
          </w:p>
        </w:tc>
        <w:tc>
          <w:tcPr>
            <w:tcW w:type="dxa" w:w="2268"/>
          </w:tcPr>
          <w:p>
            <w:pPr>
              <w:jc w:val="left"/>
            </w:pPr>
            <w:r>
              <w:rPr>
                <w:rFonts w:ascii="BundesSans Office" w:hAnsi="BundesSans Office"/>
                <w:sz w:val="22"/>
              </w:rPr>
              <w:t>2.4</w:t>
            </w:r>
          </w:p>
        </w:tc>
        <w:tc>
          <w:tcPr>
            <w:tcW w:type="dxa" w:w="2268"/>
          </w:tcPr>
          <w:p>
            <w:pPr>
              <w:jc w:val="center"/>
            </w:pPr>
            <w:r>
              <w:rPr>
                <w:rFonts w:ascii="BundesSans Office" w:hAnsi="BundesSans Office"/>
                <w:sz w:val="22"/>
              </w:rPr>
              <w:t>–</w:t>
            </w:r>
          </w:p>
        </w:tc>
        <w:tc>
          <w:tcPr>
            <w:tcW w:type="dxa" w:w="2268"/>
          </w:tcPr>
          <w:p>
            <w:pPr>
              <w:jc w:val="left"/>
            </w:pPr>
            <w:r>
              <w:rPr>
                <w:rFonts w:ascii="BundesSans Office" w:hAnsi="BundesSans Office"/>
                <w:sz w:val="22"/>
              </w:rPr>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t>2.5</w:t>
            </w:r>
          </w:p>
        </w:tc>
        <w:tc>
          <w:tcPr>
            <w:tcW w:type="dxa" w:w="2268"/>
          </w:tcPr>
          <w:p>
            <w:pPr>
              <w:jc w:val="center"/>
            </w:pPr>
            <w:r>
              <w:rPr>
                <w:rFonts w:ascii="BundesSans Office" w:hAnsi="BundesSans Office"/>
                <w:sz w:val="22"/>
              </w:rPr>
              <w:t>–</w:t>
            </w:r>
          </w:p>
        </w:tc>
        <w:tc>
          <w:tcPr>
            <w:tcW w:type="dxa" w:w="2268"/>
          </w:tcPr>
          <w:p>
            <w:pPr>
              <w:jc w:val="left"/>
            </w:pPr>
            <w:r>
              <w:rPr>
                <w:rFonts w:ascii="BundesSans Office" w:hAnsi="BundesSans Office"/>
                <w:sz w:val="22"/>
              </w:rPr>
            </w:r>
          </w:p>
        </w:tc>
      </w:tr>
      <w:tr>
        <w:tc>
          <w:tcPr>
            <w:tcW w:type="dxa" w:w="2268"/>
          </w:tcPr>
          <w:p>
            <w:pPr>
              <w:jc w:val="left"/>
            </w:pPr>
            <w:r>
              <w:rPr>
                <w:rFonts w:ascii="BundesSans Office" w:hAnsi="BundesSans Office"/>
                <w:sz w:val="22"/>
              </w:rPr>
              <w:t>Sach-/Dienstleistungen</w:t>
            </w:r>
          </w:p>
        </w:tc>
        <w:tc>
          <w:tcPr>
            <w:tcW w:type="dxa" w:w="2268"/>
          </w:tcPr>
          <w:p>
            <w:pPr>
              <w:jc w:val="left"/>
            </w:pPr>
            <w:r>
              <w:rPr>
                <w:rFonts w:ascii="BundesSans Office" w:hAnsi="BundesSans Office"/>
                <w:sz w:val="22"/>
              </w:rPr>
              <w:t>2.6</w:t>
            </w:r>
          </w:p>
        </w:tc>
        <w:tc>
          <w:tcPr>
            <w:tcW w:type="dxa" w:w="2268"/>
          </w:tcPr>
          <w:p>
            <w:pPr>
              <w:jc w:val="center"/>
            </w:pPr>
            <w:r>
              <w:rPr>
                <w:rFonts w:ascii="BundesSans Office" w:hAnsi="BundesSans Office"/>
                <w:sz w:val="22"/>
              </w:rPr>
              <w:t>optional</w:t>
            </w:r>
          </w:p>
        </w:tc>
        <w:tc>
          <w:tcPr>
            <w:tcW w:type="dxa" w:w="2268"/>
          </w:tcPr>
          <w:p>
            <w:pPr>
              <w:jc w:val="left"/>
            </w:pPr>
            <w:r>
              <w:rPr>
                <w:rFonts w:ascii="BundesSans Office" w:hAnsi="BundesSans Office"/>
                <w:sz w:val="22"/>
              </w:rPr>
              <w:t>option abhängig</w:t>
            </w:r>
          </w:p>
        </w:tc>
      </w:tr>
      <w:tr>
        <w:tc>
          <w:tcPr>
            <w:tcW w:type="dxa" w:w="2268"/>
          </w:tcPr>
          <w:p>
            <w:pPr>
              <w:jc w:val="left"/>
            </w:pPr>
            <w:r>
              <w:rPr>
                <w:rFonts w:ascii="BundesSans Office" w:hAnsi="BundesSans Office"/>
                <w:b/>
                <w:sz w:val="22"/>
              </w:rPr>
              <w:t>Gesamt</w:t>
            </w:r>
          </w:p>
        </w:tc>
        <w:tc>
          <w:tcPr>
            <w:tcW w:type="dxa" w:w="2268"/>
          </w:tcPr>
          <w:p>
            <w:pPr>
              <w:jc w:val="left"/>
            </w:pPr>
            <w:r>
              <w:rPr>
                <w:rFonts w:ascii="BundesSans Office" w:hAnsi="BundesSans Office"/>
                <w:b/>
                <w:sz w:val="22"/>
              </w:rPr>
            </w:r>
          </w:p>
        </w:tc>
        <w:tc>
          <w:tcPr>
            <w:tcW w:type="dxa" w:w="2268"/>
          </w:tcPr>
          <w:p>
            <w:pPr>
              <w:jc w:val="center"/>
            </w:pPr>
            <w:r>
              <w:rPr>
                <w:rFonts w:ascii="BundesSans Office" w:hAnsi="BundesSans Office"/>
                <w:b/>
                <w:sz w:val="22"/>
              </w:rPr>
              <w:t>23.760</w:t>
            </w:r>
          </w:p>
        </w:tc>
        <w:tc>
          <w:tcPr>
            <w:tcW w:type="dxa" w:w="2268"/>
          </w:tcPr>
          <w:p>
            <w:pPr>
              <w:jc w:val="left"/>
            </w:pPr>
            <w:r>
              <w:rPr>
                <w:rFonts w:ascii="BundesSans Office" w:hAnsi="BundesSans Office"/>
                <w:b/>
                <w:sz w:val="22"/>
              </w:rPr>
            </w:r>
          </w:p>
        </w:tc>
      </w:tr>
    </w:tbl>
    <w:p>
      <w:pPr>
        <w:spacing w:before="60" w:after="180"/>
        <w:jc w:val="left"/>
      </w:pPr>
      <w:r>
        <w:rPr>
          <w:rFonts w:ascii="BundesSans Office" w:hAnsi="BundesSans Office"/>
          <w:i/>
          <w:sz w:val="18"/>
        </w:rPr>
        <w:t>Tabelle 2: Ausgangslage – Haushalterische Darstellung</w:t>
      </w:r>
    </w:p>
    <w:p>
      <w:r>
        <w:br w:type="page"/>
      </w:r>
    </w:p>
    <w:p>
      <w:pPr>
        <w:spacing w:before="240" w:after="120"/>
      </w:pPr>
      <w:r>
        <w:rPr>
          <w:rFonts w:ascii="BundesSans Office" w:hAnsi="BundesSans Office"/>
          <w:b/>
          <w:sz w:val="26"/>
        </w:rPr>
        <w:t>3 Optionen der Bedarfsdeckung</w:t>
      </w:r>
    </w:p>
    <w:p>
      <w:pPr>
        <w:spacing w:before="120" w:after="60"/>
      </w:pPr>
      <w:r>
        <w:rPr>
          <w:rFonts w:ascii="BundesSans Office" w:hAnsi="BundesSans Office"/>
          <w:b/>
          <w:sz w:val="24"/>
        </w:rPr>
        <w:t>3.1 Grundsätzlich mögliche Optionen</w:t>
      </w:r>
    </w:p>
    <w:p>
      <w:pPr>
        <w:spacing w:line="300" w:lineRule="auto" w:after="120"/>
        <w:jc w:val="both"/>
      </w:pPr>
      <w:r>
        <w:rPr>
          <w:rFonts w:ascii="BundesSans Office" w:hAnsi="BundesSans Office"/>
          <w:sz w:val="22"/>
        </w:rPr>
        <w:t>Es werden vier grundsätzlich mögliche Optionen zur Deckung des Reinigungsbedarfs betrachtet: Option 1: Leistungserbringung durch Eigenbetrieb mit Maschinenneukauf. Das BwDLZ Mayen beschafft eine spezialisierte Hochdruckreinigungsmaschine (ca. 240.000 EUR, Typ Reuther oder ähnlich) und betreibt sie mit eigenem Sportplatzpersonal (0,5 VZÄ E5). Option 2: Leistungserbringung durch eine andere Bundeswehr-Dienststelle. Eine andere BwDLZ oder Dienststelle mit entsprechender Maschine könnte die Reinigung durchführen; das BwDLZ Mayen trägt die Kosten. Option 3: Leistungserbringung durch Fahrzeugmiete + Bundeswehr-Personal. Das BwDLZ Mayen mietet ein spezialisiertes Reinigungsfahrzeug (ca. 24.000 EUR/Jahr) und bedient es mit eigenem Sportplatzpersonal (0,5 VZÄ E5). Option 4: Leistungserbringung durch einen externen Dienstleister. Das BwDLZ beauftragt einen Reinigungsfachbetrieb, der die komplette Leistung eigenverantwortlich erbringt (ca. 8,00 EUR/m² bis 10,00 EUR/m² mit Risikoaufschlag).</w:t>
      </w:r>
    </w:p>
    <w:p>
      <w:pPr>
        <w:spacing w:before="120" w:after="60"/>
      </w:pPr>
      <w:r>
        <w:rPr>
          <w:rFonts w:ascii="BundesSans Office" w:hAnsi="BundesSans Office"/>
          <w:b/>
          <w:sz w:val="24"/>
        </w:rPr>
        <w:t>3.2 Aussonderung von ungeeigneten Optionen</w:t>
      </w:r>
    </w:p>
    <w:p>
      <w:pPr>
        <w:spacing w:line="300" w:lineRule="auto" w:after="120"/>
        <w:jc w:val="both"/>
      </w:pPr>
      <w:r>
        <w:rPr>
          <w:rFonts w:ascii="BundesSans Office" w:hAnsi="BundesSans Office"/>
          <w:sz w:val="22"/>
        </w:rPr>
        <w:t>Option 2 scheidet aus der weiteren wirtschaftlichen Betrachtung aus. Nach Recherche verfügt keine BwDLZ innerhalb der Bundeswehr über eine spezialisierte Hochdruckreinigungsmaschine mit den erforderlichen technischen Spezifikationen (mindestens 250 bar Betriebsdruck mit Schmutzwasserfassung). Eine Inanspruchnahme einer Dienststelle ist daher organisatorisch nicht möglich. Eine Beauftragung durch Austausch von Kapazitäten innerhalb der Bundeswehr kommt nicht in Betracht.</w:t>
      </w:r>
    </w:p>
    <w:p>
      <w:pPr>
        <w:spacing w:before="120" w:after="60"/>
      </w:pPr>
      <w:r>
        <w:rPr>
          <w:rFonts w:ascii="BundesSans Office" w:hAnsi="BundesSans Office"/>
          <w:b/>
          <w:sz w:val="24"/>
        </w:rPr>
        <w:t>3.3 Ausführliche Optionendarstellung</w:t>
      </w:r>
    </w:p>
    <w:p>
      <w:pPr>
        <w:spacing w:before="60" w:after="40"/>
      </w:pPr>
      <w:r>
        <w:rPr>
          <w:rFonts w:ascii="BundesSans Office" w:hAnsi="BundesSans Office"/>
          <w:b/>
          <w:sz w:val="24"/>
        </w:rPr>
        <w:t>3.3.1 Option 1: Eigenbetrieb mit Maschinenneukauf</w:t>
      </w:r>
    </w:p>
    <w:p>
      <w:pPr>
        <w:spacing w:before="60" w:after="40"/>
      </w:pPr>
      <w:r>
        <w:rPr>
          <w:rFonts w:ascii="BundesSans Office" w:hAnsi="BundesSans Office"/>
          <w:b/>
          <w:sz w:val="24"/>
        </w:rPr>
        <w:t>3.3.1.1 Ablauforganisation</w:t>
      </w:r>
    </w:p>
    <w:p>
      <w:pPr>
        <w:spacing w:line="300" w:lineRule="auto" w:after="120"/>
        <w:jc w:val="both"/>
      </w:pPr>
      <w:r>
        <w:rPr>
          <w:rFonts w:ascii="BundesSans Office" w:hAnsi="BundesSans Office"/>
          <w:sz w:val="22"/>
        </w:rPr>
        <w:t>Das BwDLZ Mayen beschafft eine spezialisierte Hochdruckreinigungsmaschine über normale Beschaffungswege. Anschließend führt das Sportplatzpersonal die Reinigungen eigenverantwortlich durch. Die Einsatzplanung erfolgt intern nach dem festgestellten Zyklus (Sportplätze alle 2 Jahre, andere Flächen alle 3 Jahre).</w:t>
      </w:r>
    </w:p>
    <w:p>
      <w:pPr>
        <w:spacing w:before="60" w:after="40"/>
      </w:pPr>
      <w:r>
        <w:rPr>
          <w:rFonts w:ascii="BundesSans Office" w:hAnsi="BundesSans Office"/>
          <w:b/>
          <w:sz w:val="24"/>
        </w:rPr>
        <w:t>3.3.1.2 Aufbauorganisation</w:t>
      </w:r>
    </w:p>
    <w:p>
      <w:pPr>
        <w:spacing w:line="300" w:lineRule="auto" w:after="120"/>
        <w:jc w:val="both"/>
      </w:pPr>
      <w:r>
        <w:rPr>
          <w:rFonts w:ascii="BundesSans Office" w:hAnsi="BundesSans Office"/>
          <w:sz w:val="22"/>
        </w:rPr>
        <w:t>Das Sportplatzpersonal des BwDLZ (0,5 VZÄ E5) übernimmt Bedienung, Wartung und Einsatzplanung. Die Maschine ist Eigentum des BwDLZ.</w:t>
      </w:r>
    </w:p>
    <w:p>
      <w:pPr>
        <w:spacing w:before="60" w:after="40"/>
      </w:pPr>
      <w:r>
        <w:rPr>
          <w:rFonts w:ascii="BundesSans Office" w:hAnsi="BundesSans Office"/>
          <w:b/>
          <w:sz w:val="24"/>
        </w:rPr>
        <w:t>3.3.1.3 Personal</w:t>
      </w:r>
    </w:p>
    <w:p>
      <w:pPr>
        <w:spacing w:line="300" w:lineRule="auto" w:after="120"/>
        <w:jc w:val="both"/>
      </w:pPr>
      <w:r>
        <w:rPr>
          <w:rFonts w:ascii="BundesSans Office" w:hAnsi="BundesSans Office"/>
          <w:sz w:val="22"/>
        </w:rPr>
        <w:t>0,5 VZÄ in der Entgeltgruppe E5 für Bedienung, Wartung und Einsatzplanung.</w:t>
      </w:r>
    </w:p>
    <w:p>
      <w:pPr>
        <w:spacing w:before="60" w:after="40"/>
      </w:pPr>
      <w:r>
        <w:rPr>
          <w:rFonts w:ascii="BundesSans Office" w:hAnsi="BundesSans Office"/>
          <w:b/>
          <w:sz w:val="24"/>
        </w:rPr>
        <w:t>3.3.1.4 Material</w:t>
      </w:r>
    </w:p>
    <w:p>
      <w:pPr>
        <w:spacing w:line="300" w:lineRule="auto" w:after="120"/>
        <w:jc w:val="both"/>
      </w:pPr>
      <w:r>
        <w:rPr>
          <w:rFonts w:ascii="BundesSans Office" w:hAnsi="BundesSans Office"/>
          <w:sz w:val="22"/>
        </w:rPr>
        <w:t>Hochdruckreinigungsmaschine Typ Reuther oder äquivalent (Neupreis ca. 240.000 EUR). Verschleißteile (Schläuche, Düsen, Dichtungen) werden regelmäßig benötigt. Kraftstoff und Schmierstoffe für den Betrieb.</w:t>
      </w:r>
    </w:p>
    <w:p>
      <w:pPr>
        <w:spacing w:before="60" w:after="40"/>
      </w:pPr>
      <w:r>
        <w:rPr>
          <w:rFonts w:ascii="BundesSans Office" w:hAnsi="BundesSans Office"/>
          <w:b/>
          <w:sz w:val="24"/>
        </w:rPr>
        <w:t>3.3.1.5 Infrastruktur</w:t>
      </w:r>
    </w:p>
    <w:p>
      <w:pPr>
        <w:spacing w:line="300" w:lineRule="auto" w:after="120"/>
        <w:jc w:val="both"/>
      </w:pPr>
      <w:r>
        <w:rPr>
          <w:rFonts w:ascii="BundesSans Office" w:hAnsi="BundesSans Office"/>
          <w:sz w:val="22"/>
        </w:rPr>
        <w:t>Lagerfläche (ca. 50 m²) für die Maschine, Kleingeräte und Ersatzteile erforderlich. Stromanschluss für Wartungsarbeiten.</w:t>
      </w:r>
    </w:p>
    <w:p>
      <w:pPr>
        <w:spacing w:before="60" w:after="40"/>
      </w:pPr>
      <w:r>
        <w:rPr>
          <w:rFonts w:ascii="BundesSans Office" w:hAnsi="BundesSans Office"/>
          <w:b/>
          <w:sz w:val="24"/>
        </w:rPr>
        <w:t>3.3.1.6 Sach- und Dienstleistungen</w:t>
      </w:r>
    </w:p>
    <w:p>
      <w:pPr>
        <w:spacing w:line="300" w:lineRule="auto" w:after="120"/>
        <w:jc w:val="both"/>
      </w:pPr>
      <w:r>
        <w:rPr>
          <w:rFonts w:ascii="BundesSans Office" w:hAnsi="BundesSans Office"/>
          <w:sz w:val="22"/>
        </w:rPr>
        <w:t>Wartung und Reparatur müssen durch spezialisierte Werkstätten durchgeführt werden. Ersatzteilbeschaffung über Lieferanten. Inspektionen nach Herstellervorgaben.</w:t>
      </w:r>
    </w:p>
    <w:p>
      <w:pPr>
        <w:spacing w:before="60" w:after="40"/>
      </w:pPr>
      <w:r>
        <w:rPr>
          <w:rFonts w:ascii="BundesSans Office" w:hAnsi="BundesSans Office"/>
          <w:b/>
          <w:sz w:val="24"/>
        </w:rPr>
        <w:t>3.3.1.7 Ggf. Einnahmen</w:t>
      </w:r>
    </w:p>
    <w:p>
      <w:pPr>
        <w:spacing w:line="300" w:lineRule="auto" w:after="120"/>
        <w:jc w:val="both"/>
      </w:pPr>
      <w:r>
        <w:rPr>
          <w:rFonts w:ascii="BundesSans Office" w:hAnsi="BundesSans Office"/>
          <w:sz w:val="22"/>
        </w:rPr>
        <w:t>Keine Einnahmen.</w:t>
      </w:r>
    </w:p>
    <w:p>
      <w:pPr>
        <w:spacing w:before="60" w:after="40"/>
      </w:pPr>
      <w:r>
        <w:rPr>
          <w:rFonts w:ascii="BundesSans Office" w:hAnsi="BundesSans Office"/>
          <w:b/>
          <w:sz w:val="24"/>
        </w:rPr>
        <w:t>3.3.1.8 Kostenberechnung Option 1 (10 Jahre)</w:t>
      </w:r>
    </w:p>
    <w:p>
      <w:pPr>
        <w:spacing w:line="300" w:lineRule="auto" w:after="120"/>
        <w:jc w:val="both"/>
      </w:pPr>
      <w:r>
        <w:rPr>
          <w:rFonts w:ascii="BundesSans Office" w:hAnsi="BundesSans Office"/>
          <w:sz w:val="22"/>
        </w:rPr>
        <w:t>Die folgende Tabelle zeigt die detaillierte Kostenberechnung für Option 1 über 10 Jahre mit Preissteigerungsraten und Diskontierung (1,2 Prozent p.a.):</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Kostenposition</w:t>
            </w:r>
          </w:p>
        </w:tc>
        <w:tc>
          <w:tcPr>
            <w:tcW w:type="dxa" w:w="3024"/>
            <w:shd w:fill="D3D3D3"/>
          </w:tcPr>
          <w:p>
            <w:pPr>
              <w:jc w:val="center"/>
            </w:pPr>
            <w:r>
              <w:rPr>
                <w:rFonts w:ascii="BundesSans Office" w:hAnsi="BundesSans Office"/>
                <w:b/>
                <w:sz w:val="22"/>
              </w:rPr>
              <w:t>Betrag (EUR)</w:t>
            </w:r>
          </w:p>
        </w:tc>
        <w:tc>
          <w:tcPr>
            <w:tcW w:type="dxa" w:w="3024"/>
            <w:shd w:fill="D3D3D3"/>
          </w:tcPr>
          <w:p>
            <w:pPr>
              <w:jc w:val="center"/>
            </w:pPr>
            <w:r>
              <w:rPr>
                <w:rFonts w:ascii="BundesSans Office" w:hAnsi="BundesSans Office"/>
                <w:b/>
                <w:sz w:val="22"/>
              </w:rPr>
              <w:t>Barwert (EUR)</w:t>
            </w:r>
          </w:p>
        </w:tc>
      </w:tr>
      <w:tr>
        <w:tc>
          <w:tcPr>
            <w:tcW w:type="dxa" w:w="3024"/>
          </w:tcPr>
          <w:p>
            <w:pPr>
              <w:jc w:val="left"/>
            </w:pPr>
            <w:r>
              <w:rPr>
                <w:rFonts w:ascii="BundesSans Office" w:hAnsi="BundesSans Office"/>
                <w:sz w:val="22"/>
              </w:rPr>
              <w:t>Investition Maschine Jahr 1</w:t>
            </w:r>
          </w:p>
        </w:tc>
        <w:tc>
          <w:tcPr>
            <w:tcW w:type="dxa" w:w="3024"/>
          </w:tcPr>
          <w:p>
            <w:pPr>
              <w:jc w:val="center"/>
            </w:pPr>
            <w:r>
              <w:rPr>
                <w:rFonts w:ascii="BundesSans Office" w:hAnsi="BundesSans Office"/>
                <w:sz w:val="22"/>
              </w:rPr>
              <w:t>240.000</w:t>
            </w:r>
          </w:p>
        </w:tc>
        <w:tc>
          <w:tcPr>
            <w:tcW w:type="dxa" w:w="3024"/>
          </w:tcPr>
          <w:p>
            <w:pPr>
              <w:jc w:val="center"/>
            </w:pPr>
            <w:r>
              <w:rPr>
                <w:rFonts w:ascii="BundesSans Office" w:hAnsi="BundesSans Office"/>
                <w:sz w:val="22"/>
              </w:rPr>
              <w:t>240.000</w:t>
            </w:r>
          </w:p>
        </w:tc>
      </w:tr>
      <w:tr>
        <w:tc>
          <w:tcPr>
            <w:tcW w:type="dxa" w:w="3024"/>
          </w:tcPr>
          <w:p>
            <w:pPr>
              <w:jc w:val="left"/>
            </w:pPr>
            <w:r>
              <w:rPr>
                <w:rFonts w:ascii="BundesSans Office" w:hAnsi="BundesSans Office"/>
                <w:sz w:val="22"/>
              </w:rPr>
              <w:t>Personal 0,5 VZÄ E5 (Vollkosten)</w:t>
            </w:r>
          </w:p>
        </w:tc>
        <w:tc>
          <w:tcPr>
            <w:tcW w:type="dxa" w:w="3024"/>
          </w:tcPr>
          <w:p>
            <w:pPr>
              <w:jc w:val="center"/>
            </w:pPr>
            <w:r>
              <w:rPr>
                <w:rFonts w:ascii="BundesSans Office" w:hAnsi="BundesSans Office"/>
                <w:sz w:val="22"/>
              </w:rPr>
              <w:t>23.760 pro Jahr</w:t>
            </w:r>
          </w:p>
        </w:tc>
        <w:tc>
          <w:tcPr>
            <w:tcW w:type="dxa" w:w="3024"/>
          </w:tcPr>
          <w:p>
            <w:pPr>
              <w:jc w:val="center"/>
            </w:pPr>
            <w:r>
              <w:rPr>
                <w:rFonts w:ascii="BundesSans Office" w:hAnsi="BundesSans Office"/>
                <w:sz w:val="22"/>
              </w:rPr>
              <w:t>226.200</w:t>
            </w:r>
          </w:p>
        </w:tc>
      </w:tr>
      <w:tr>
        <w:tc>
          <w:tcPr>
            <w:tcW w:type="dxa" w:w="3024"/>
          </w:tcPr>
          <w:p>
            <w:pPr>
              <w:jc w:val="left"/>
            </w:pPr>
            <w:r>
              <w:rPr>
                <w:rFonts w:ascii="BundesSans Office" w:hAnsi="BundesSans Office"/>
                <w:sz w:val="22"/>
              </w:rPr>
              <w:t>Wartung (5% von Anschaffung/Jahr)</w:t>
            </w:r>
          </w:p>
        </w:tc>
        <w:tc>
          <w:tcPr>
            <w:tcW w:type="dxa" w:w="3024"/>
          </w:tcPr>
          <w:p>
            <w:pPr>
              <w:jc w:val="center"/>
            </w:pPr>
            <w:r>
              <w:rPr>
                <w:rFonts w:ascii="BundesSans Office" w:hAnsi="BundesSans Office"/>
                <w:sz w:val="22"/>
              </w:rPr>
              <w:t>12.000 pro Jahr</w:t>
            </w:r>
          </w:p>
        </w:tc>
        <w:tc>
          <w:tcPr>
            <w:tcW w:type="dxa" w:w="3024"/>
          </w:tcPr>
          <w:p>
            <w:pPr>
              <w:jc w:val="center"/>
            </w:pPr>
            <w:r>
              <w:rPr>
                <w:rFonts w:ascii="BundesSans Office" w:hAnsi="BundesSans Office"/>
                <w:sz w:val="22"/>
              </w:rPr>
              <w:t>110.640</w:t>
            </w:r>
          </w:p>
        </w:tc>
      </w:tr>
      <w:tr>
        <w:tc>
          <w:tcPr>
            <w:tcW w:type="dxa" w:w="3024"/>
          </w:tcPr>
          <w:p>
            <w:pPr>
              <w:jc w:val="left"/>
            </w:pPr>
            <w:r>
              <w:rPr>
                <w:rFonts w:ascii="BundesSans Office" w:hAnsi="BundesSans Office"/>
                <w:sz w:val="22"/>
              </w:rPr>
              <w:t>Verschleißteile (Schläuche, Düsen)</w:t>
            </w:r>
          </w:p>
        </w:tc>
        <w:tc>
          <w:tcPr>
            <w:tcW w:type="dxa" w:w="3024"/>
          </w:tcPr>
          <w:p>
            <w:pPr>
              <w:jc w:val="center"/>
            </w:pPr>
            <w:r>
              <w:rPr>
                <w:rFonts w:ascii="BundesSans Office" w:hAnsi="BundesSans Office"/>
                <w:sz w:val="22"/>
              </w:rPr>
              <w:t>3.600 pro Jahr</w:t>
            </w:r>
          </w:p>
        </w:tc>
        <w:tc>
          <w:tcPr>
            <w:tcW w:type="dxa" w:w="3024"/>
          </w:tcPr>
          <w:p>
            <w:pPr>
              <w:jc w:val="center"/>
            </w:pPr>
            <w:r>
              <w:rPr>
                <w:rFonts w:ascii="BundesSans Office" w:hAnsi="BundesSans Office"/>
                <w:sz w:val="22"/>
              </w:rPr>
              <w:t>33.192</w:t>
            </w:r>
          </w:p>
        </w:tc>
      </w:tr>
      <w:tr>
        <w:tc>
          <w:tcPr>
            <w:tcW w:type="dxa" w:w="3024"/>
          </w:tcPr>
          <w:p>
            <w:pPr>
              <w:jc w:val="left"/>
            </w:pPr>
            <w:r>
              <w:rPr>
                <w:rFonts w:ascii="BundesSans Office" w:hAnsi="BundesSans Office"/>
                <w:sz w:val="22"/>
              </w:rPr>
              <w:t>Restwert Maschine Jahr 10 (20% abzugsf.)</w:t>
            </w:r>
          </w:p>
        </w:tc>
        <w:tc>
          <w:tcPr>
            <w:tcW w:type="dxa" w:w="3024"/>
          </w:tcPr>
          <w:p>
            <w:pPr>
              <w:jc w:val="center"/>
            </w:pPr>
            <w:r>
              <w:rPr>
                <w:rFonts w:ascii="BundesSans Office" w:hAnsi="BundesSans Office"/>
                <w:sz w:val="22"/>
              </w:rPr>
              <w:t>–48.000</w:t>
            </w:r>
          </w:p>
        </w:tc>
        <w:tc>
          <w:tcPr>
            <w:tcW w:type="dxa" w:w="3024"/>
          </w:tcPr>
          <w:p>
            <w:pPr>
              <w:jc w:val="center"/>
            </w:pPr>
            <w:r>
              <w:rPr>
                <w:rFonts w:ascii="BundesSans Office" w:hAnsi="BundesSans Office"/>
                <w:sz w:val="22"/>
              </w:rPr>
              <w:t>–43.250</w:t>
            </w:r>
          </w:p>
        </w:tc>
      </w:tr>
      <w:tr>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r>
      <w:tr>
        <w:tc>
          <w:tcPr>
            <w:tcW w:type="dxa" w:w="3024"/>
          </w:tcPr>
          <w:p>
            <w:pPr>
              <w:jc w:val="left"/>
            </w:pPr>
            <w:r>
              <w:rPr>
                <w:rFonts w:ascii="BundesSans Office" w:hAnsi="BundesSans Office"/>
                <w:b/>
                <w:sz w:val="22"/>
              </w:rPr>
              <w:t>SUMME BARWERT</w:t>
            </w:r>
          </w:p>
        </w:tc>
        <w:tc>
          <w:tcPr>
            <w:tcW w:type="dxa" w:w="3024"/>
          </w:tcPr>
          <w:p>
            <w:pPr>
              <w:jc w:val="left"/>
            </w:pPr>
            <w:r>
              <w:rPr>
                <w:rFonts w:ascii="BundesSans Office" w:hAnsi="BundesSans Office"/>
                <w:b/>
                <w:sz w:val="22"/>
              </w:rPr>
              <w:t>–</w:t>
            </w:r>
          </w:p>
        </w:tc>
        <w:tc>
          <w:tcPr>
            <w:tcW w:type="dxa" w:w="3024"/>
          </w:tcPr>
          <w:p>
            <w:pPr>
              <w:jc w:val="center"/>
            </w:pPr>
            <w:r>
              <w:rPr>
                <w:rFonts w:ascii="BundesSans Office" w:hAnsi="BundesSans Office"/>
                <w:b/>
                <w:sz w:val="22"/>
              </w:rPr>
              <w:t>566.782</w:t>
            </w:r>
          </w:p>
        </w:tc>
      </w:tr>
      <w:tr>
        <w:tc>
          <w:tcPr>
            <w:tcW w:type="dxa" w:w="3024"/>
          </w:tcPr>
          <w:p>
            <w:pPr>
              <w:jc w:val="left"/>
            </w:pPr>
            <w:r>
              <w:rPr>
                <w:rFonts w:ascii="BundesSans Office" w:hAnsi="BundesSans Office"/>
                <w:b/>
                <w:sz w:val="22"/>
              </w:rPr>
              <w:t>Risikowert (10% der Kosten)</w:t>
            </w:r>
          </w:p>
        </w:tc>
        <w:tc>
          <w:tcPr>
            <w:tcW w:type="dxa" w:w="3024"/>
          </w:tcPr>
          <w:p>
            <w:pPr>
              <w:jc w:val="left"/>
            </w:pPr>
            <w:r>
              <w:rPr>
                <w:rFonts w:ascii="BundesSans Office" w:hAnsi="BundesSans Office"/>
                <w:b/>
                <w:sz w:val="22"/>
              </w:rPr>
              <w:t>–</w:t>
            </w:r>
          </w:p>
        </w:tc>
        <w:tc>
          <w:tcPr>
            <w:tcW w:type="dxa" w:w="3024"/>
          </w:tcPr>
          <w:p>
            <w:pPr>
              <w:jc w:val="center"/>
            </w:pPr>
            <w:r>
              <w:rPr>
                <w:rFonts w:ascii="BundesSans Office" w:hAnsi="BundesSans Office"/>
                <w:b/>
                <w:sz w:val="22"/>
              </w:rPr>
              <w:t>53.000</w:t>
            </w:r>
          </w:p>
        </w:tc>
      </w:tr>
      <w:tr>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r>
      <w:tr>
        <w:tc>
          <w:tcPr>
            <w:tcW w:type="dxa" w:w="3024"/>
            <w:shd w:fill="FFE699"/>
          </w:tcPr>
          <w:p>
            <w:pPr>
              <w:jc w:val="left"/>
            </w:pPr>
            <w:r>
              <w:rPr>
                <w:rFonts w:ascii="BundesSans Office" w:hAnsi="BundesSans Office"/>
                <w:b/>
                <w:sz w:val="22"/>
              </w:rPr>
              <w:t>KAPITALWERT MIT RISIKO</w:t>
            </w:r>
          </w:p>
        </w:tc>
        <w:tc>
          <w:tcPr>
            <w:tcW w:type="dxa" w:w="3024"/>
            <w:shd w:fill="FFE699"/>
          </w:tcPr>
          <w:p>
            <w:pPr>
              <w:jc w:val="left"/>
            </w:pPr>
            <w:r>
              <w:rPr>
                <w:rFonts w:ascii="BundesSans Office" w:hAnsi="BundesSans Office"/>
                <w:b/>
                <w:sz w:val="22"/>
              </w:rPr>
              <w:t>–</w:t>
            </w:r>
          </w:p>
        </w:tc>
        <w:tc>
          <w:tcPr>
            <w:tcW w:type="dxa" w:w="3024"/>
            <w:shd w:fill="FFE699"/>
          </w:tcPr>
          <w:p>
            <w:pPr>
              <w:jc w:val="center"/>
            </w:pPr>
            <w:r>
              <w:rPr>
                <w:rFonts w:ascii="BundesSans Office" w:hAnsi="BundesSans Office"/>
                <w:b/>
                <w:sz w:val="22"/>
              </w:rPr>
              <w:t>858.441</w:t>
            </w:r>
          </w:p>
        </w:tc>
      </w:tr>
      <w:tr>
        <w:tc>
          <w:tcPr>
            <w:tcW w:type="dxa" w:w="3024"/>
          </w:tcPr>
          <w:p/>
        </w:tc>
        <w:tc>
          <w:tcPr>
            <w:tcW w:type="dxa" w:w="3024"/>
          </w:tcPr>
          <w:p/>
        </w:tc>
        <w:tc>
          <w:tcPr>
            <w:tcW w:type="dxa" w:w="3024"/>
          </w:tcPr>
          <w:p/>
        </w:tc>
      </w:tr>
    </w:tbl>
    <w:p>
      <w:pPr>
        <w:spacing w:before="60" w:after="180"/>
        <w:jc w:val="left"/>
      </w:pPr>
      <w:r>
        <w:rPr>
          <w:rFonts w:ascii="BundesSans Office" w:hAnsi="BundesSans Office"/>
          <w:i/>
          <w:sz w:val="18"/>
        </w:rPr>
        <w:t>Tabelle 3: Option 1 – Kostenberechnung 10 Jahre (Eigenbetrieb mit Maschinenneukauf)</w:t>
      </w:r>
    </w:p>
    <w:p>
      <w:pPr>
        <w:spacing w:before="60" w:after="40"/>
      </w:pPr>
      <w:r>
        <w:rPr>
          <w:rFonts w:ascii="BundesSans Office" w:hAnsi="BundesSans Office"/>
          <w:b/>
          <w:sz w:val="24"/>
        </w:rPr>
        <w:t>3.3.3 Option 3: Fahrzeugmiete + Bundeswehr-Personal</w:t>
      </w:r>
    </w:p>
    <w:p>
      <w:pPr>
        <w:spacing w:before="60" w:after="40"/>
      </w:pPr>
      <w:r>
        <w:rPr>
          <w:rFonts w:ascii="BundesSans Office" w:hAnsi="BundesSans Office"/>
          <w:b/>
          <w:sz w:val="24"/>
        </w:rPr>
        <w:t>3.3.3.1 Ablauforganisation</w:t>
      </w:r>
    </w:p>
    <w:p>
      <w:pPr>
        <w:spacing w:line="300" w:lineRule="auto" w:after="120"/>
        <w:jc w:val="both"/>
      </w:pPr>
      <w:r>
        <w:rPr>
          <w:rFonts w:ascii="BundesSans Office" w:hAnsi="BundesSans Office"/>
          <w:sz w:val="22"/>
        </w:rPr>
        <w:t>Ein spezialisiertes Reinigungsfahrzeug wird über einen Dienstleister angemietet. Das Sportplatzpersonal des BwDLZ bedient das Fahrzeug und führt die Reinigungen nach Einsatzplanung durch. Das Fahrzeug wird zwischen Einsätzen beim Vermieter gelagert und wird bei Bedarf bereitgestellt.</w:t>
      </w:r>
    </w:p>
    <w:p>
      <w:pPr>
        <w:spacing w:before="60" w:after="40"/>
      </w:pPr>
      <w:r>
        <w:rPr>
          <w:rFonts w:ascii="BundesSans Office" w:hAnsi="BundesSans Office"/>
          <w:b/>
          <w:sz w:val="24"/>
        </w:rPr>
        <w:t>3.3.3.2 Aufbauorganisation</w:t>
      </w:r>
    </w:p>
    <w:p>
      <w:pPr>
        <w:spacing w:line="300" w:lineRule="auto" w:after="120"/>
        <w:jc w:val="both"/>
      </w:pPr>
      <w:r>
        <w:rPr>
          <w:rFonts w:ascii="BundesSans Office" w:hAnsi="BundesSans Office"/>
          <w:sz w:val="22"/>
        </w:rPr>
        <w:t>Das Sportplatzpersonal des BwDLZ (0,5 VZÄ E5) übernimmt Bedienung des Mietfahrzeugs und Einsatzplanung. Das Fahrzeug bleibt Eigentum des Vermieters.</w:t>
      </w:r>
    </w:p>
    <w:p>
      <w:pPr>
        <w:spacing w:before="60" w:after="40"/>
      </w:pPr>
      <w:r>
        <w:rPr>
          <w:rFonts w:ascii="BundesSans Office" w:hAnsi="BundesSans Office"/>
          <w:b/>
          <w:sz w:val="24"/>
        </w:rPr>
        <w:t>3.3.3.3 Personal</w:t>
      </w:r>
    </w:p>
    <w:p>
      <w:pPr>
        <w:spacing w:line="300" w:lineRule="auto" w:after="120"/>
        <w:jc w:val="both"/>
      </w:pPr>
      <w:r>
        <w:rPr>
          <w:rFonts w:ascii="BundesSans Office" w:hAnsi="BundesSans Office"/>
          <w:sz w:val="22"/>
        </w:rPr>
        <w:t>0,5 VZÄ in der Entgeltgruppe E5 für Bedienung des Mietfahrzeugs und Einsatzplanung.</w:t>
      </w:r>
    </w:p>
    <w:p>
      <w:pPr>
        <w:spacing w:before="60" w:after="40"/>
      </w:pPr>
      <w:r>
        <w:rPr>
          <w:rFonts w:ascii="BundesSans Office" w:hAnsi="BundesSans Office"/>
          <w:b/>
          <w:sz w:val="24"/>
        </w:rPr>
        <w:t>3.3.3.4 Material</w:t>
      </w:r>
    </w:p>
    <w:p>
      <w:pPr>
        <w:spacing w:line="300" w:lineRule="auto" w:after="120"/>
        <w:jc w:val="both"/>
      </w:pPr>
      <w:r>
        <w:rPr>
          <w:rFonts w:ascii="BundesSans Office" w:hAnsi="BundesSans Office"/>
          <w:sz w:val="22"/>
        </w:rPr>
        <w:t>Mietfahrzeug mit integrierter Hochdruckreinigungsmaschine (mindestens 250 bar). Kleine Verschleißteile (Schläuche, Filter) werden teilweise vom Vermieter, teilweise vom BwDLZ gestellt.</w:t>
      </w:r>
    </w:p>
    <w:p>
      <w:pPr>
        <w:spacing w:before="60" w:after="40"/>
      </w:pPr>
      <w:r>
        <w:rPr>
          <w:rFonts w:ascii="BundesSans Office" w:hAnsi="BundesSans Office"/>
          <w:b/>
          <w:sz w:val="24"/>
        </w:rPr>
        <w:t>3.3.3.5 Infrastruktur</w:t>
      </w:r>
    </w:p>
    <w:p>
      <w:pPr>
        <w:spacing w:line="300" w:lineRule="auto" w:after="120"/>
        <w:jc w:val="both"/>
      </w:pPr>
      <w:r>
        <w:rPr>
          <w:rFonts w:ascii="BundesSans Office" w:hAnsi="BundesSans Office"/>
          <w:sz w:val="22"/>
        </w:rPr>
        <w:t>Stellfläche (ca. 30 m²) für das Mietfahrzeug auf dem BwDLZ-Gelände. Stromanschluss für Wartungsarbeiten.</w:t>
      </w:r>
    </w:p>
    <w:p>
      <w:pPr>
        <w:spacing w:before="60" w:after="40"/>
      </w:pPr>
      <w:r>
        <w:rPr>
          <w:rFonts w:ascii="BundesSans Office" w:hAnsi="BundesSans Office"/>
          <w:b/>
          <w:sz w:val="24"/>
        </w:rPr>
        <w:t>3.3.3.6 Sach- und Dienstleistungen</w:t>
      </w:r>
    </w:p>
    <w:p>
      <w:pPr>
        <w:spacing w:line="300" w:lineRule="auto" w:after="120"/>
        <w:jc w:val="both"/>
      </w:pPr>
      <w:r>
        <w:rPr>
          <w:rFonts w:ascii="BundesSans Office" w:hAnsi="BundesSans Office"/>
          <w:sz w:val="22"/>
        </w:rPr>
        <w:t>Fahrzeugmiete: ca. 24.000 EUR/Jahr (monatlich ca. 2.000 EUR). Wartung und Reparatur des Fahrzeugs erfolgt durch den Vermieter. Versicherung und Betriebskosten durch den Vermieter.</w:t>
      </w:r>
    </w:p>
    <w:p>
      <w:pPr>
        <w:spacing w:before="60" w:after="40"/>
      </w:pPr>
      <w:r>
        <w:rPr>
          <w:rFonts w:ascii="BundesSans Office" w:hAnsi="BundesSans Office"/>
          <w:b/>
          <w:sz w:val="24"/>
        </w:rPr>
        <w:t>3.3.3.7 Ggf. Einnahmen</w:t>
      </w:r>
    </w:p>
    <w:p>
      <w:pPr>
        <w:spacing w:line="300" w:lineRule="auto" w:after="120"/>
        <w:jc w:val="both"/>
      </w:pPr>
      <w:r>
        <w:rPr>
          <w:rFonts w:ascii="BundesSans Office" w:hAnsi="BundesSans Office"/>
          <w:sz w:val="22"/>
        </w:rPr>
        <w:t>Keine Einnahmen.</w:t>
      </w:r>
    </w:p>
    <w:p>
      <w:pPr>
        <w:spacing w:before="60" w:after="40"/>
      </w:pPr>
      <w:r>
        <w:rPr>
          <w:rFonts w:ascii="BundesSans Office" w:hAnsi="BundesSans Office"/>
          <w:b/>
          <w:sz w:val="24"/>
        </w:rPr>
        <w:t>3.3.3.8 Kostenberechnung Option 3 (10 Jahre)</w:t>
      </w:r>
    </w:p>
    <w:p>
      <w:pPr>
        <w:spacing w:line="300" w:lineRule="auto" w:after="120"/>
        <w:jc w:val="both"/>
      </w:pPr>
      <w:r>
        <w:rPr>
          <w:rFonts w:ascii="BundesSans Office" w:hAnsi="BundesSans Office"/>
          <w:sz w:val="22"/>
        </w:rPr>
        <w:t>Die folgende Tabelle zeigt die detaillierte Kostenberechnung für Option 3 über 10 Jahre mit Preissteigerungsraten und Diskontierung (1,2 Prozent p.a.). Die Fahrzeugmiete wird mit 2,4 Prozent Steigerung p.a. eskaliert.</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Kostenposition</w:t>
            </w:r>
          </w:p>
        </w:tc>
        <w:tc>
          <w:tcPr>
            <w:tcW w:type="dxa" w:w="3024"/>
            <w:shd w:fill="D3D3D3"/>
          </w:tcPr>
          <w:p>
            <w:pPr>
              <w:jc w:val="center"/>
            </w:pPr>
            <w:r>
              <w:rPr>
                <w:rFonts w:ascii="BundesSans Office" w:hAnsi="BundesSans Office"/>
                <w:b/>
                <w:sz w:val="22"/>
              </w:rPr>
              <w:t>Betrag (EUR)</w:t>
            </w:r>
          </w:p>
        </w:tc>
        <w:tc>
          <w:tcPr>
            <w:tcW w:type="dxa" w:w="3024"/>
            <w:shd w:fill="D3D3D3"/>
          </w:tcPr>
          <w:p>
            <w:pPr>
              <w:jc w:val="center"/>
            </w:pPr>
            <w:r>
              <w:rPr>
                <w:rFonts w:ascii="BundesSans Office" w:hAnsi="BundesSans Office"/>
                <w:b/>
                <w:sz w:val="22"/>
              </w:rPr>
              <w:t>Barwert (EUR)</w:t>
            </w:r>
          </w:p>
        </w:tc>
      </w:tr>
      <w:tr>
        <w:tc>
          <w:tcPr>
            <w:tcW w:type="dxa" w:w="3024"/>
          </w:tcPr>
          <w:p>
            <w:pPr>
              <w:jc w:val="left"/>
            </w:pPr>
            <w:r>
              <w:rPr>
                <w:rFonts w:ascii="BundesSans Office" w:hAnsi="BundesSans Office"/>
                <w:sz w:val="22"/>
              </w:rPr>
              <w:t>Fahrzeugmiete Jahr 1</w:t>
            </w:r>
          </w:p>
        </w:tc>
        <w:tc>
          <w:tcPr>
            <w:tcW w:type="dxa" w:w="3024"/>
          </w:tcPr>
          <w:p>
            <w:pPr>
              <w:jc w:val="center"/>
            </w:pPr>
            <w:r>
              <w:rPr>
                <w:rFonts w:ascii="BundesSans Office" w:hAnsi="BundesSans Office"/>
                <w:sz w:val="22"/>
              </w:rPr>
              <w:t>24.000</w:t>
            </w:r>
          </w:p>
        </w:tc>
        <w:tc>
          <w:tcPr>
            <w:tcW w:type="dxa" w:w="3024"/>
          </w:tcPr>
          <w:p>
            <w:pPr>
              <w:jc w:val="center"/>
            </w:pPr>
            <w:r>
              <w:rPr>
                <w:rFonts w:ascii="BundesSans Office" w:hAnsi="BundesSans Office"/>
                <w:sz w:val="22"/>
              </w:rPr>
              <w:t>23.712</w:t>
            </w:r>
          </w:p>
        </w:tc>
      </w:tr>
      <w:tr>
        <w:tc>
          <w:tcPr>
            <w:tcW w:type="dxa" w:w="3024"/>
          </w:tcPr>
          <w:p>
            <w:pPr>
              <w:jc w:val="left"/>
            </w:pPr>
            <w:r>
              <w:rPr>
                <w:rFonts w:ascii="BundesSans Office" w:hAnsi="BundesSans Office"/>
                <w:sz w:val="22"/>
              </w:rPr>
              <w:t>Fahrzeugmiete Barwert 10 Jahre (eskaliert 2,4%)</w:t>
            </w:r>
          </w:p>
        </w:tc>
        <w:tc>
          <w:tcPr>
            <w:tcW w:type="dxa" w:w="3024"/>
          </w:tcPr>
          <w:p>
            <w:pPr>
              <w:jc w:val="center"/>
            </w:pPr>
            <w:r>
              <w:rPr>
                <w:rFonts w:ascii="BundesSans Office" w:hAnsi="BundesSans Office"/>
                <w:sz w:val="22"/>
              </w:rPr>
              <w:t>–</w:t>
            </w:r>
          </w:p>
        </w:tc>
        <w:tc>
          <w:tcPr>
            <w:tcW w:type="dxa" w:w="3024"/>
          </w:tcPr>
          <w:p>
            <w:pPr>
              <w:jc w:val="center"/>
            </w:pPr>
            <w:r>
              <w:rPr>
                <w:rFonts w:ascii="BundesSans Office" w:hAnsi="BundesSans Office"/>
                <w:sz w:val="22"/>
              </w:rPr>
              <w:t>218.256</w:t>
            </w:r>
          </w:p>
        </w:tc>
      </w:tr>
      <w:tr>
        <w:tc>
          <w:tcPr>
            <w:tcW w:type="dxa" w:w="3024"/>
          </w:tcPr>
          <w:p>
            <w:pPr>
              <w:jc w:val="left"/>
            </w:pPr>
            <w:r>
              <w:rPr>
                <w:rFonts w:ascii="BundesSans Office" w:hAnsi="BundesSans Office"/>
                <w:sz w:val="22"/>
              </w:rPr>
              <w:t>Personal 0,5 VZÄ E5 (Vollkosten)</w:t>
            </w:r>
          </w:p>
        </w:tc>
        <w:tc>
          <w:tcPr>
            <w:tcW w:type="dxa" w:w="3024"/>
          </w:tcPr>
          <w:p>
            <w:pPr>
              <w:jc w:val="center"/>
            </w:pPr>
            <w:r>
              <w:rPr>
                <w:rFonts w:ascii="BundesSans Office" w:hAnsi="BundesSans Office"/>
                <w:sz w:val="22"/>
              </w:rPr>
              <w:t>23.760 pro Jahr</w:t>
            </w:r>
          </w:p>
        </w:tc>
        <w:tc>
          <w:tcPr>
            <w:tcW w:type="dxa" w:w="3024"/>
          </w:tcPr>
          <w:p>
            <w:pPr>
              <w:jc w:val="center"/>
            </w:pPr>
            <w:r>
              <w:rPr>
                <w:rFonts w:ascii="BundesSans Office" w:hAnsi="BundesSans Office"/>
                <w:sz w:val="22"/>
              </w:rPr>
              <w:t>226.200</w:t>
            </w:r>
          </w:p>
        </w:tc>
      </w:tr>
      <w:tr>
        <w:tc>
          <w:tcPr>
            <w:tcW w:type="dxa" w:w="3024"/>
          </w:tcPr>
          <w:p>
            <w:pPr>
              <w:jc w:val="left"/>
            </w:pPr>
            <w:r>
              <w:rPr>
                <w:rFonts w:ascii="BundesSans Office" w:hAnsi="BundesSans Office"/>
                <w:sz w:val="22"/>
              </w:rPr>
              <w:t>Kleine Verschleißteile/Jahr</w:t>
            </w:r>
          </w:p>
        </w:tc>
        <w:tc>
          <w:tcPr>
            <w:tcW w:type="dxa" w:w="3024"/>
          </w:tcPr>
          <w:p>
            <w:pPr>
              <w:jc w:val="center"/>
            </w:pPr>
            <w:r>
              <w:rPr>
                <w:rFonts w:ascii="BundesSans Office" w:hAnsi="BundesSans Office"/>
                <w:sz w:val="22"/>
              </w:rPr>
              <w:t>1.200 pro Jahr</w:t>
            </w:r>
          </w:p>
        </w:tc>
        <w:tc>
          <w:tcPr>
            <w:tcW w:type="dxa" w:w="3024"/>
          </w:tcPr>
          <w:p>
            <w:pPr>
              <w:jc w:val="center"/>
            </w:pPr>
            <w:r>
              <w:rPr>
                <w:rFonts w:ascii="BundesSans Office" w:hAnsi="BundesSans Office"/>
                <w:sz w:val="22"/>
              </w:rPr>
              <w:t>11.064</w:t>
            </w:r>
          </w:p>
        </w:tc>
      </w:tr>
      <w:tr>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r>
      <w:tr>
        <w:tc>
          <w:tcPr>
            <w:tcW w:type="dxa" w:w="3024"/>
          </w:tcPr>
          <w:p>
            <w:pPr>
              <w:jc w:val="left"/>
            </w:pPr>
            <w:r>
              <w:rPr>
                <w:rFonts w:ascii="BundesSans Office" w:hAnsi="BundesSans Office"/>
                <w:b/>
                <w:sz w:val="22"/>
              </w:rPr>
              <w:t>SUMME BARWERT</w:t>
            </w:r>
          </w:p>
        </w:tc>
        <w:tc>
          <w:tcPr>
            <w:tcW w:type="dxa" w:w="3024"/>
          </w:tcPr>
          <w:p>
            <w:pPr>
              <w:jc w:val="left"/>
            </w:pPr>
            <w:r>
              <w:rPr>
                <w:rFonts w:ascii="BundesSans Office" w:hAnsi="BundesSans Office"/>
                <w:b/>
                <w:sz w:val="22"/>
              </w:rPr>
              <w:t>–</w:t>
            </w:r>
          </w:p>
        </w:tc>
        <w:tc>
          <w:tcPr>
            <w:tcW w:type="dxa" w:w="3024"/>
          </w:tcPr>
          <w:p>
            <w:pPr>
              <w:jc w:val="center"/>
            </w:pPr>
            <w:r>
              <w:rPr>
                <w:rFonts w:ascii="BundesSans Office" w:hAnsi="BundesSans Office"/>
                <w:b/>
                <w:sz w:val="22"/>
              </w:rPr>
              <w:t>479.232</w:t>
            </w:r>
          </w:p>
        </w:tc>
      </w:tr>
      <w:tr>
        <w:tc>
          <w:tcPr>
            <w:tcW w:type="dxa" w:w="3024"/>
          </w:tcPr>
          <w:p>
            <w:pPr>
              <w:jc w:val="left"/>
            </w:pPr>
            <w:r>
              <w:rPr>
                <w:rFonts w:ascii="BundesSans Office" w:hAnsi="BundesSans Office"/>
                <w:b/>
                <w:sz w:val="22"/>
              </w:rPr>
              <w:t>Risikowert (5% der Kosten, niedrig)</w:t>
            </w:r>
          </w:p>
        </w:tc>
        <w:tc>
          <w:tcPr>
            <w:tcW w:type="dxa" w:w="3024"/>
          </w:tcPr>
          <w:p>
            <w:pPr>
              <w:jc w:val="left"/>
            </w:pPr>
            <w:r>
              <w:rPr>
                <w:rFonts w:ascii="BundesSans Office" w:hAnsi="BundesSans Office"/>
                <w:b/>
                <w:sz w:val="22"/>
              </w:rPr>
              <w:t>–</w:t>
            </w:r>
          </w:p>
        </w:tc>
        <w:tc>
          <w:tcPr>
            <w:tcW w:type="dxa" w:w="3024"/>
          </w:tcPr>
          <w:p>
            <w:pPr>
              <w:jc w:val="center"/>
            </w:pPr>
            <w:r>
              <w:rPr>
                <w:rFonts w:ascii="BundesSans Office" w:hAnsi="BundesSans Office"/>
                <w:b/>
                <w:sz w:val="22"/>
              </w:rPr>
              <w:t>17.000</w:t>
            </w:r>
          </w:p>
        </w:tc>
      </w:tr>
      <w:tr>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r>
      <w:tr>
        <w:tc>
          <w:tcPr>
            <w:tcW w:type="dxa" w:w="3024"/>
            <w:shd w:fill="C6EFCE"/>
          </w:tcPr>
          <w:p>
            <w:pPr>
              <w:jc w:val="left"/>
            </w:pPr>
            <w:r>
              <w:rPr>
                <w:rFonts w:ascii="BundesSans Office" w:hAnsi="BundesSans Office"/>
                <w:b/>
                <w:sz w:val="22"/>
              </w:rPr>
              <w:t>KAPITALWERT MIT RISIKO</w:t>
            </w:r>
          </w:p>
        </w:tc>
        <w:tc>
          <w:tcPr>
            <w:tcW w:type="dxa" w:w="3024"/>
            <w:shd w:fill="C6EFCE"/>
          </w:tcPr>
          <w:p>
            <w:pPr>
              <w:jc w:val="left"/>
            </w:pPr>
            <w:r>
              <w:rPr>
                <w:rFonts w:ascii="BundesSans Office" w:hAnsi="BundesSans Office"/>
                <w:b/>
                <w:sz w:val="22"/>
              </w:rPr>
              <w:t>–</w:t>
            </w:r>
          </w:p>
        </w:tc>
        <w:tc>
          <w:tcPr>
            <w:tcW w:type="dxa" w:w="3024"/>
            <w:shd w:fill="C6EFCE"/>
          </w:tcPr>
          <w:p>
            <w:pPr>
              <w:jc w:val="center"/>
            </w:pPr>
            <w:r>
              <w:rPr>
                <w:rFonts w:ascii="BundesSans Office" w:hAnsi="BundesSans Office"/>
                <w:b/>
                <w:sz w:val="22"/>
              </w:rPr>
              <w:t>606.714</w:t>
            </w:r>
          </w:p>
        </w:tc>
      </w:tr>
    </w:tbl>
    <w:p>
      <w:pPr>
        <w:spacing w:before="60" w:after="180"/>
        <w:jc w:val="left"/>
      </w:pPr>
      <w:r>
        <w:rPr>
          <w:rFonts w:ascii="BundesSans Office" w:hAnsi="BundesSans Office"/>
          <w:i/>
          <w:sz w:val="18"/>
        </w:rPr>
        <w:t>Tabelle 4: Option 3 – Kostenberechnung 10 Jahre (Fahrzeugmiete + BW-Personal)</w:t>
      </w:r>
    </w:p>
    <w:p>
      <w:pPr>
        <w:spacing w:before="60" w:after="40"/>
      </w:pPr>
      <w:r>
        <w:rPr>
          <w:rFonts w:ascii="BundesSans Office" w:hAnsi="BundesSans Office"/>
          <w:b/>
          <w:sz w:val="24"/>
        </w:rPr>
        <w:t>3.3.4 Option 4: Externe Dienstleistung</w:t>
      </w:r>
    </w:p>
    <w:p>
      <w:pPr>
        <w:spacing w:before="60" w:after="40"/>
      </w:pPr>
      <w:r>
        <w:rPr>
          <w:rFonts w:ascii="BundesSans Office" w:hAnsi="BundesSans Office"/>
          <w:b/>
          <w:sz w:val="24"/>
        </w:rPr>
        <w:t>3.3.4.1 Ablauforganisation</w:t>
      </w:r>
    </w:p>
    <w:p>
      <w:pPr>
        <w:spacing w:line="300" w:lineRule="auto" w:after="120"/>
        <w:jc w:val="both"/>
      </w:pPr>
      <w:r>
        <w:rPr>
          <w:rFonts w:ascii="BundesSans Office" w:hAnsi="BundesSans Office"/>
          <w:sz w:val="22"/>
        </w:rPr>
        <w:t>Ein spezialisierter Reinigungsfachbetrieb wird beauftragt, die Reinigungen eigenverantwortlich durchzuführen. Der Dienstleister bringt eigene Ausrüstung, Personal und Maschinen mit. Das BwDLZ Mayen koordiniert Termine und Abnahme der Leistung.</w:t>
      </w:r>
    </w:p>
    <w:p>
      <w:pPr>
        <w:spacing w:before="60" w:after="40"/>
      </w:pPr>
      <w:r>
        <w:rPr>
          <w:rFonts w:ascii="BundesSans Office" w:hAnsi="BundesSans Office"/>
          <w:b/>
          <w:sz w:val="24"/>
        </w:rPr>
        <w:t>3.3.4.2 Aufbauorganisation</w:t>
      </w:r>
    </w:p>
    <w:p>
      <w:pPr>
        <w:spacing w:line="300" w:lineRule="auto" w:after="120"/>
        <w:jc w:val="both"/>
      </w:pPr>
      <w:r>
        <w:rPr>
          <w:rFonts w:ascii="BundesSans Office" w:hAnsi="BundesSans Office"/>
          <w:sz w:val="22"/>
        </w:rPr>
        <w:t>Der externe Reinigungsfachbetrieb ist verantwortlich für die Durchführung. Das BwDLZ Mayen hat ein minimales Koordinations- und Abnahmepersonal (0,1 VZÄ E9b).</w:t>
      </w:r>
    </w:p>
    <w:p>
      <w:pPr>
        <w:spacing w:before="60" w:after="40"/>
      </w:pPr>
      <w:r>
        <w:rPr>
          <w:rFonts w:ascii="BundesSans Office" w:hAnsi="BundesSans Office"/>
          <w:b/>
          <w:sz w:val="24"/>
        </w:rPr>
        <w:t>3.3.4.3 Personal</w:t>
      </w:r>
    </w:p>
    <w:p>
      <w:pPr>
        <w:spacing w:line="300" w:lineRule="auto" w:after="120"/>
        <w:jc w:val="both"/>
      </w:pPr>
      <w:r>
        <w:rPr>
          <w:rFonts w:ascii="BundesSans Office" w:hAnsi="BundesSans Office"/>
          <w:sz w:val="22"/>
        </w:rPr>
        <w:t>BwDLZ-seitig: 0,1 VZÄ E9b für Koordination, Terminabsprache und Leistungsabnahme. Dienstleister: Vollständig eigenverantwortlich.</w:t>
      </w:r>
    </w:p>
    <w:p>
      <w:pPr>
        <w:spacing w:before="60" w:after="40"/>
      </w:pPr>
      <w:r>
        <w:rPr>
          <w:rFonts w:ascii="BundesSans Office" w:hAnsi="BundesSans Office"/>
          <w:b/>
          <w:sz w:val="24"/>
        </w:rPr>
        <w:t>3.3.4.4 Material</w:t>
      </w:r>
    </w:p>
    <w:p>
      <w:pPr>
        <w:spacing w:line="300" w:lineRule="auto" w:after="120"/>
        <w:jc w:val="both"/>
      </w:pPr>
      <w:r>
        <w:rPr>
          <w:rFonts w:ascii="BundesSans Office" w:hAnsi="BundesSans Office"/>
          <w:sz w:val="22"/>
        </w:rPr>
        <w:t>Dienstleister stellt alle erforderliche Ausrüstung (Maschinen, Geräte).</w:t>
      </w:r>
    </w:p>
    <w:p>
      <w:pPr>
        <w:spacing w:before="60" w:after="40"/>
      </w:pPr>
      <w:r>
        <w:rPr>
          <w:rFonts w:ascii="BundesSans Office" w:hAnsi="BundesSans Office"/>
          <w:b/>
          <w:sz w:val="24"/>
        </w:rPr>
        <w:t>3.3.4.5 Infrastruktur</w:t>
      </w:r>
    </w:p>
    <w:p>
      <w:pPr>
        <w:spacing w:line="300" w:lineRule="auto" w:after="120"/>
        <w:jc w:val="both"/>
      </w:pPr>
      <w:r>
        <w:rPr>
          <w:rFonts w:ascii="BundesSans Office" w:hAnsi="BundesSans Office"/>
          <w:sz w:val="22"/>
        </w:rPr>
        <w:t>Keine zusätzliche Infrastruktur erforderlich.</w:t>
      </w:r>
    </w:p>
    <w:p>
      <w:pPr>
        <w:spacing w:before="60" w:after="40"/>
      </w:pPr>
      <w:r>
        <w:rPr>
          <w:rFonts w:ascii="BundesSans Office" w:hAnsi="BundesSans Office"/>
          <w:b/>
          <w:sz w:val="24"/>
        </w:rPr>
        <w:t>3.3.4.6 Sach- und Dienstleistungen</w:t>
      </w:r>
    </w:p>
    <w:p>
      <w:pPr>
        <w:spacing w:line="300" w:lineRule="auto" w:after="120"/>
        <w:jc w:val="both"/>
      </w:pPr>
      <w:r>
        <w:rPr>
          <w:rFonts w:ascii="BundesSans Office" w:hAnsi="BundesSans Office"/>
          <w:sz w:val="22"/>
        </w:rPr>
        <w:t>Reinigungsleistung durch Dienstleister: 8,00 EUR/m² (Marktpreisrecherche). Bei 81.672 m² beträgt eine komplette Reinigung aller Flächen ca. 653.376 EUR. Durchgeführt im 2- bis 3-Jahres-Rhythmus nach Bedarf (insgesamt ca. 3–4 Einsätze über 10 Jahre).</w:t>
      </w:r>
    </w:p>
    <w:p>
      <w:pPr>
        <w:spacing w:before="60" w:after="40"/>
      </w:pPr>
      <w:r>
        <w:rPr>
          <w:rFonts w:ascii="BundesSans Office" w:hAnsi="BundesSans Office"/>
          <w:b/>
          <w:sz w:val="24"/>
        </w:rPr>
        <w:t>3.3.4.7 Ggf. Einnahmen</w:t>
      </w:r>
    </w:p>
    <w:p>
      <w:pPr>
        <w:spacing w:line="300" w:lineRule="auto" w:after="120"/>
        <w:jc w:val="both"/>
      </w:pPr>
      <w:r>
        <w:rPr>
          <w:rFonts w:ascii="BundesSans Office" w:hAnsi="BundesSans Office"/>
          <w:sz w:val="22"/>
        </w:rPr>
        <w:t>Keine Einnahmen.</w:t>
      </w:r>
    </w:p>
    <w:p>
      <w:pPr>
        <w:spacing w:before="60" w:after="40"/>
      </w:pPr>
      <w:r>
        <w:rPr>
          <w:rFonts w:ascii="BundesSans Office" w:hAnsi="BundesSans Office"/>
          <w:b/>
          <w:sz w:val="24"/>
        </w:rPr>
        <w:t>3.3.4.8 Kostenberechnung Option 4 (10 Jahre)</w:t>
      </w:r>
    </w:p>
    <w:p>
      <w:pPr>
        <w:spacing w:line="300" w:lineRule="auto" w:after="120"/>
        <w:jc w:val="both"/>
      </w:pPr>
      <w:r>
        <w:rPr>
          <w:rFonts w:ascii="BundesSans Office" w:hAnsi="BundesSans Office"/>
          <w:sz w:val="22"/>
        </w:rPr>
        <w:t>Die folgende Tabelle zeigt die detaillierte Kostenberechnung für Option 4 über 10 Jahre mit Preissteigerungsraten und Diskontierung (1,2 Prozent p.a.). Mit Risikoaufschlag auf 10,00 EUR/m² werden die Dienstleisterkosten erhöht.</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Kostenposition</w:t>
            </w:r>
          </w:p>
        </w:tc>
        <w:tc>
          <w:tcPr>
            <w:tcW w:type="dxa" w:w="3024"/>
            <w:shd w:fill="D3D3D3"/>
          </w:tcPr>
          <w:p>
            <w:pPr>
              <w:jc w:val="center"/>
            </w:pPr>
            <w:r>
              <w:rPr>
                <w:rFonts w:ascii="BundesSans Office" w:hAnsi="BundesSans Office"/>
                <w:b/>
                <w:sz w:val="22"/>
              </w:rPr>
              <w:t>Betrag (EUR)</w:t>
            </w:r>
          </w:p>
        </w:tc>
        <w:tc>
          <w:tcPr>
            <w:tcW w:type="dxa" w:w="3024"/>
            <w:shd w:fill="D3D3D3"/>
          </w:tcPr>
          <w:p>
            <w:pPr>
              <w:jc w:val="center"/>
            </w:pPr>
            <w:r>
              <w:rPr>
                <w:rFonts w:ascii="BundesSans Office" w:hAnsi="BundesSans Office"/>
                <w:b/>
                <w:sz w:val="22"/>
              </w:rPr>
              <w:t>Barwert (EUR)</w:t>
            </w:r>
          </w:p>
        </w:tc>
      </w:tr>
      <w:tr>
        <w:tc>
          <w:tcPr>
            <w:tcW w:type="dxa" w:w="3024"/>
          </w:tcPr>
          <w:p>
            <w:pPr>
              <w:jc w:val="left"/>
            </w:pPr>
            <w:r>
              <w:rPr>
                <w:rFonts w:ascii="BundesSans Office" w:hAnsi="BundesSans Office"/>
                <w:sz w:val="22"/>
              </w:rPr>
              <w:t>Reinigung DL 8,00 EUR/m² (81.672 m²)</w:t>
            </w:r>
          </w:p>
        </w:tc>
        <w:tc>
          <w:tcPr>
            <w:tcW w:type="dxa" w:w="3024"/>
          </w:tcPr>
          <w:p>
            <w:pPr>
              <w:jc w:val="center"/>
            </w:pPr>
            <w:r>
              <w:rPr>
                <w:rFonts w:ascii="BundesSans Office" w:hAnsi="BundesSans Office"/>
                <w:sz w:val="22"/>
              </w:rPr>
              <w:t>653.376 pro Einsatz</w:t>
            </w:r>
          </w:p>
        </w:tc>
        <w:tc>
          <w:tcPr>
            <w:tcW w:type="dxa" w:w="3024"/>
          </w:tcPr>
          <w:p>
            <w:pPr>
              <w:jc w:val="center"/>
            </w:pPr>
            <w:r>
              <w:rPr>
                <w:rFonts w:ascii="BundesSans Office" w:hAnsi="BundesSans Office"/>
                <w:sz w:val="22"/>
              </w:rPr>
              <w:t>–</w:t>
            </w:r>
          </w:p>
        </w:tc>
      </w:tr>
      <w:tr>
        <w:tc>
          <w:tcPr>
            <w:tcW w:type="dxa" w:w="3024"/>
          </w:tcPr>
          <w:p>
            <w:pPr>
              <w:jc w:val="left"/>
            </w:pPr>
            <w:r>
              <w:rPr>
                <w:rFonts w:ascii="BundesSans Office" w:hAnsi="BundesSans Office"/>
                <w:sz w:val="22"/>
              </w:rPr>
              <w:t>Reinigung mit Risiko (10,00 EUR/m²)</w:t>
            </w:r>
          </w:p>
        </w:tc>
        <w:tc>
          <w:tcPr>
            <w:tcW w:type="dxa" w:w="3024"/>
          </w:tcPr>
          <w:p>
            <w:pPr>
              <w:jc w:val="center"/>
            </w:pPr>
            <w:r>
              <w:rPr>
                <w:rFonts w:ascii="BundesSans Office" w:hAnsi="BundesSans Office"/>
                <w:sz w:val="22"/>
              </w:rPr>
              <w:t>816.720 pro Einsatz</w:t>
            </w:r>
          </w:p>
        </w:tc>
        <w:tc>
          <w:tcPr>
            <w:tcW w:type="dxa" w:w="3024"/>
          </w:tcPr>
          <w:p>
            <w:pPr>
              <w:jc w:val="center"/>
            </w:pPr>
            <w:r>
              <w:rPr>
                <w:rFonts w:ascii="BundesSans Office" w:hAnsi="BundesSans Office"/>
                <w:sz w:val="22"/>
              </w:rPr>
              <w:t>–</w:t>
            </w:r>
          </w:p>
        </w:tc>
      </w:tr>
      <w:tr>
        <w:tc>
          <w:tcPr>
            <w:tcW w:type="dxa" w:w="3024"/>
          </w:tcPr>
          <w:p>
            <w:pPr>
              <w:jc w:val="left"/>
            </w:pPr>
            <w:r>
              <w:rPr>
                <w:rFonts w:ascii="BundesSans Office" w:hAnsi="BundesSans Office"/>
                <w:sz w:val="22"/>
              </w:rPr>
              <w:t>Einsätze über 10 Jahre (Zyklus 2-3 Jahre)</w:t>
            </w:r>
          </w:p>
        </w:tc>
        <w:tc>
          <w:tcPr>
            <w:tcW w:type="dxa" w:w="3024"/>
          </w:tcPr>
          <w:p>
            <w:pPr>
              <w:jc w:val="center"/>
            </w:pPr>
            <w:r>
              <w:rPr>
                <w:rFonts w:ascii="BundesSans Office" w:hAnsi="BundesSans Office"/>
                <w:sz w:val="22"/>
              </w:rPr>
              <w:t>ca. 3-4 Einsätze</w:t>
            </w:r>
          </w:p>
        </w:tc>
        <w:tc>
          <w:tcPr>
            <w:tcW w:type="dxa" w:w="3024"/>
          </w:tcPr>
          <w:p>
            <w:pPr>
              <w:jc w:val="center"/>
            </w:pPr>
            <w:r>
              <w:rPr>
                <w:rFonts w:ascii="BundesSans Office" w:hAnsi="BundesSans Office"/>
                <w:sz w:val="22"/>
              </w:rPr>
              <w:t>–</w:t>
            </w:r>
          </w:p>
        </w:tc>
      </w:tr>
      <w:tr>
        <w:tc>
          <w:tcPr>
            <w:tcW w:type="dxa" w:w="3024"/>
          </w:tcPr>
          <w:p>
            <w:pPr>
              <w:jc w:val="left"/>
            </w:pPr>
            <w:r>
              <w:rPr>
                <w:rFonts w:ascii="BundesSans Office" w:hAnsi="BundesSans Office"/>
                <w:sz w:val="22"/>
              </w:rPr>
              <w:t>Gesamtbetrag 10 Jahre (4 Einsätze @ 10 EUR/m²)</w:t>
            </w:r>
          </w:p>
        </w:tc>
        <w:tc>
          <w:tcPr>
            <w:tcW w:type="dxa" w:w="3024"/>
          </w:tcPr>
          <w:p>
            <w:pPr>
              <w:jc w:val="center"/>
            </w:pPr>
            <w:r>
              <w:rPr>
                <w:rFonts w:ascii="BundesSans Office" w:hAnsi="BundesSans Office"/>
                <w:sz w:val="22"/>
              </w:rPr>
              <w:t>3.266.880</w:t>
            </w:r>
          </w:p>
        </w:tc>
        <w:tc>
          <w:tcPr>
            <w:tcW w:type="dxa" w:w="3024"/>
          </w:tcPr>
          <w:p>
            <w:pPr>
              <w:jc w:val="center"/>
            </w:pPr>
            <w:r>
              <w:rPr>
                <w:rFonts w:ascii="BundesSans Office" w:hAnsi="BundesSans Office"/>
                <w:sz w:val="22"/>
              </w:rPr>
              <w:t>–</w:t>
            </w:r>
          </w:p>
        </w:tc>
      </w:tr>
      <w:tr>
        <w:tc>
          <w:tcPr>
            <w:tcW w:type="dxa" w:w="3024"/>
          </w:tcPr>
          <w:p>
            <w:pPr>
              <w:jc w:val="left"/>
            </w:pPr>
            <w:r>
              <w:rPr>
                <w:rFonts w:ascii="BundesSans Office" w:hAnsi="BundesSans Office"/>
                <w:sz w:val="22"/>
              </w:rPr>
              <w:t>Barwert Dienstleistung (eskaliert 2,4%)</w:t>
            </w:r>
          </w:p>
        </w:tc>
        <w:tc>
          <w:tcPr>
            <w:tcW w:type="dxa" w:w="3024"/>
          </w:tcPr>
          <w:p>
            <w:pPr>
              <w:jc w:val="center"/>
            </w:pPr>
            <w:r>
              <w:rPr>
                <w:rFonts w:ascii="BundesSans Office" w:hAnsi="BundesSans Office"/>
                <w:sz w:val="22"/>
              </w:rPr>
              <w:t>–</w:t>
            </w:r>
          </w:p>
        </w:tc>
        <w:tc>
          <w:tcPr>
            <w:tcW w:type="dxa" w:w="3024"/>
          </w:tcPr>
          <w:p>
            <w:pPr>
              <w:jc w:val="center"/>
            </w:pPr>
            <w:r>
              <w:rPr>
                <w:rFonts w:ascii="BundesSans Office" w:hAnsi="BundesSans Office"/>
                <w:sz w:val="22"/>
              </w:rPr>
              <w:t>2.936.424</w:t>
            </w:r>
          </w:p>
        </w:tc>
      </w:tr>
      <w:tr>
        <w:tc>
          <w:tcPr>
            <w:tcW w:type="dxa" w:w="3024"/>
          </w:tcPr>
          <w:p>
            <w:pPr>
              <w:jc w:val="left"/>
            </w:pPr>
            <w:r>
              <w:rPr>
                <w:rFonts w:ascii="BundesSans Office" w:hAnsi="BundesSans Office"/>
                <w:sz w:val="22"/>
              </w:rPr>
              <w:t>Personal Koordination 0,1 VZÄ E9b</w:t>
            </w:r>
          </w:p>
        </w:tc>
        <w:tc>
          <w:tcPr>
            <w:tcW w:type="dxa" w:w="3024"/>
          </w:tcPr>
          <w:p>
            <w:pPr>
              <w:jc w:val="center"/>
            </w:pPr>
            <w:r>
              <w:rPr>
                <w:rFonts w:ascii="BundesSans Office" w:hAnsi="BundesSans Office"/>
                <w:sz w:val="22"/>
              </w:rPr>
              <w:t>3.600 pro Jahr</w:t>
            </w:r>
          </w:p>
        </w:tc>
        <w:tc>
          <w:tcPr>
            <w:tcW w:type="dxa" w:w="3024"/>
          </w:tcPr>
          <w:p>
            <w:pPr>
              <w:jc w:val="center"/>
            </w:pPr>
            <w:r>
              <w:rPr>
                <w:rFonts w:ascii="BundesSans Office" w:hAnsi="BundesSans Office"/>
                <w:sz w:val="22"/>
              </w:rPr>
              <w:t>34.344</w:t>
            </w:r>
          </w:p>
        </w:tc>
      </w:tr>
      <w:tr>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c>
          <w:tcPr>
            <w:tcW w:type="dxa" w:w="3024"/>
          </w:tcPr>
          <w:p>
            <w:pPr>
              <w:jc w:val="left"/>
            </w:pPr>
            <w:r>
              <w:rPr>
                <w:rFonts w:ascii="BundesSans Office" w:hAnsi="BundesSans Office"/>
                <w:b/>
                <w:sz w:val="22"/>
              </w:rPr>
            </w:r>
          </w:p>
        </w:tc>
      </w:tr>
      <w:tr>
        <w:tc>
          <w:tcPr>
            <w:tcW w:type="dxa" w:w="3024"/>
          </w:tcPr>
          <w:p>
            <w:pPr>
              <w:jc w:val="left"/>
            </w:pPr>
            <w:r>
              <w:rPr>
                <w:rFonts w:ascii="BundesSans Office" w:hAnsi="BundesSans Office"/>
                <w:b/>
                <w:sz w:val="22"/>
              </w:rPr>
              <w:t>SUMME BARWERT</w:t>
            </w:r>
          </w:p>
        </w:tc>
        <w:tc>
          <w:tcPr>
            <w:tcW w:type="dxa" w:w="3024"/>
          </w:tcPr>
          <w:p>
            <w:pPr>
              <w:jc w:val="left"/>
            </w:pPr>
            <w:r>
              <w:rPr>
                <w:rFonts w:ascii="BundesSans Office" w:hAnsi="BundesSans Office"/>
                <w:b/>
                <w:sz w:val="22"/>
              </w:rPr>
              <w:t>–</w:t>
            </w:r>
          </w:p>
        </w:tc>
        <w:tc>
          <w:tcPr>
            <w:tcW w:type="dxa" w:w="3024"/>
          </w:tcPr>
          <w:p>
            <w:pPr>
              <w:jc w:val="center"/>
            </w:pPr>
            <w:r>
              <w:rPr>
                <w:rFonts w:ascii="BundesSans Office" w:hAnsi="BundesSans Office"/>
                <w:b/>
                <w:sz w:val="22"/>
              </w:rPr>
              <w:t>2.970.768</w:t>
            </w:r>
          </w:p>
        </w:tc>
      </w:tr>
      <w:tr>
        <w:tc>
          <w:tcPr>
            <w:tcW w:type="dxa" w:w="3024"/>
          </w:tcPr>
          <w:p>
            <w:pPr>
              <w:jc w:val="left"/>
            </w:pPr>
            <w:r>
              <w:rPr>
                <w:rFonts w:ascii="BundesSans Office" w:hAnsi="BundesSans Office"/>
                <w:b/>
                <w:sz w:val="22"/>
              </w:rPr>
              <w:t>Risikowert (15% der Kosten, hoch)</w:t>
            </w:r>
          </w:p>
        </w:tc>
        <w:tc>
          <w:tcPr>
            <w:tcW w:type="dxa" w:w="3024"/>
          </w:tcPr>
          <w:p>
            <w:pPr>
              <w:jc w:val="left"/>
            </w:pPr>
            <w:r>
              <w:rPr>
                <w:rFonts w:ascii="BundesSans Office" w:hAnsi="BundesSans Office"/>
                <w:b/>
                <w:sz w:val="22"/>
              </w:rPr>
              <w:t>–</w:t>
            </w:r>
          </w:p>
        </w:tc>
        <w:tc>
          <w:tcPr>
            <w:tcW w:type="dxa" w:w="3024"/>
          </w:tcPr>
          <w:p>
            <w:pPr>
              <w:jc w:val="center"/>
            </w:pPr>
            <w:r>
              <w:rPr>
                <w:rFonts w:ascii="BundesSans Office" w:hAnsi="BundesSans Office"/>
                <w:b/>
                <w:sz w:val="22"/>
              </w:rPr>
              <w:t>917.846</w:t>
            </w:r>
          </w:p>
        </w:tc>
      </w:tr>
      <w:tr>
        <w:tc>
          <w:tcPr>
            <w:tcW w:type="dxa" w:w="3024"/>
            <w:shd w:fill="F8CCCC"/>
          </w:tcPr>
          <w:p>
            <w:pPr>
              <w:jc w:val="left"/>
            </w:pPr>
            <w:r>
              <w:rPr>
                <w:rFonts w:ascii="BundesSans Office" w:hAnsi="BundesSans Office"/>
                <w:b/>
                <w:sz w:val="22"/>
              </w:rPr>
              <w:t>KAPITALWERT MIT RISIKO</w:t>
            </w:r>
          </w:p>
        </w:tc>
        <w:tc>
          <w:tcPr>
            <w:tcW w:type="dxa" w:w="3024"/>
            <w:shd w:fill="F8CCCC"/>
          </w:tcPr>
          <w:p>
            <w:pPr>
              <w:jc w:val="left"/>
            </w:pPr>
            <w:r>
              <w:rPr>
                <w:rFonts w:ascii="BundesSans Office" w:hAnsi="BundesSans Office"/>
                <w:b/>
                <w:sz w:val="22"/>
              </w:rPr>
              <w:t>–</w:t>
            </w:r>
          </w:p>
        </w:tc>
        <w:tc>
          <w:tcPr>
            <w:tcW w:type="dxa" w:w="3024"/>
            <w:shd w:fill="F8CCCC"/>
          </w:tcPr>
          <w:p>
            <w:pPr>
              <w:jc w:val="center"/>
            </w:pPr>
            <w:r>
              <w:rPr>
                <w:rFonts w:ascii="BundesSans Office" w:hAnsi="BundesSans Office"/>
                <w:b/>
                <w:sz w:val="22"/>
              </w:rPr>
              <w:t>3.888.614</w:t>
            </w:r>
          </w:p>
        </w:tc>
      </w:tr>
    </w:tbl>
    <w:p>
      <w:pPr>
        <w:spacing w:before="60" w:after="180"/>
        <w:jc w:val="left"/>
      </w:pPr>
      <w:r>
        <w:rPr>
          <w:rFonts w:ascii="BundesSans Office" w:hAnsi="BundesSans Office"/>
          <w:i/>
          <w:sz w:val="18"/>
        </w:rPr>
        <w:t>Tabelle 5: Option 4 – Kostenberechnung 10 Jahre (Externe Dienstleistung)</w:t>
      </w:r>
    </w:p>
    <w:p>
      <w:r>
        <w:br w:type="page"/>
      </w:r>
    </w:p>
    <w:p>
      <w:pPr>
        <w:spacing w:before="240" w:after="120"/>
      </w:pPr>
      <w:r>
        <w:rPr>
          <w:rFonts w:ascii="BundesSans Office" w:hAnsi="BundesSans Office"/>
          <w:b/>
          <w:sz w:val="26"/>
        </w:rPr>
        <w:t>4 Annahmen</w:t>
      </w:r>
    </w:p>
    <w:p>
      <w:pPr>
        <w:spacing w:before="120" w:after="60"/>
      </w:pPr>
      <w:r>
        <w:rPr>
          <w:rFonts w:ascii="BundesSans Office" w:hAnsi="BundesSans Office"/>
          <w:b/>
          <w:sz w:val="24"/>
        </w:rPr>
        <w:t>4.1 Annahmen für alle Optionen</w:t>
      </w:r>
    </w:p>
    <w:p>
      <w:pPr>
        <w:spacing w:line="300" w:lineRule="auto" w:after="120"/>
        <w:jc w:val="both"/>
      </w:pPr>
      <w:r>
        <w:rPr>
          <w:rFonts w:ascii="BundesSans Office" w:hAnsi="BundesSans Office"/>
          <w:sz w:val="22"/>
        </w:rPr>
        <w:t>Betrachtungszeitraum: 10 Jahre (2026 bis 2035). Basisdatum für Diskontierung: 01.01.2026. Liegenschaftsanzahl: 12 Standorte, konstant über den gesamten Zeitraum. Reinigungsumfang: 81.672 m² Tartanflächen. Reinigungshäufigkeit: Sportplätze alle 2 Jahre (5 × im 10-Jahr-Zeitraum); andere Flächen alle 3 Jahre (3–4 × im 10-Jahr-Zeitraum). Durchschnittliche Fahrtdistanzen: 25 km durchschnittlich zwischen Standorten. Reisekosten entfallen, da dies unter der 30-km-Regelung liegt. Keine Übernachtungen erforderlich.</w:t>
      </w:r>
    </w:p>
    <w:p>
      <w:pPr>
        <w:spacing w:before="120" w:after="60"/>
      </w:pPr>
      <w:r>
        <w:rPr>
          <w:rFonts w:ascii="BundesSans Office" w:hAnsi="BundesSans Office"/>
          <w:b/>
          <w:sz w:val="24"/>
        </w:rPr>
        <w:t>4.2 Annahmen für bestimmte Optionen</w:t>
      </w:r>
    </w:p>
    <w:p>
      <w:pPr>
        <w:spacing w:line="300" w:lineRule="auto" w:after="120"/>
        <w:jc w:val="both"/>
      </w:pPr>
      <w:r>
        <w:rPr>
          <w:rFonts w:ascii="BundesSans Office" w:hAnsi="BundesSans Office"/>
          <w:sz w:val="22"/>
        </w:rPr>
        <w:t>Option 1: Maschinenneukauf 240.000 EUR (marktgerecht für Reuther-Maschine oder äquivalent). Jährliche Wartungskosten ca. 5 Prozent des Anschaffungspreises = 12.000 EUR/Jahr. Kleine Ersatzteilkosten zusätzlich (Schläuche, Düsen) ca. 3.600 EUR/Jahr. Restwert nach 10 Jahren: Ca. 20 Prozent der Anschaffungssumme = 48.000 EUR (linear abgeschrieben). Option 3: Fahrzeugmiete ca. 24.000 EUR/Jahr (monatlich 2.000 EUR, marktgerecht recherchiert). Kleine Zusatzkosten (Verschleißteile, Fuel) ca. 1.200 EUR/Jahr, eskaliert mit 2,5 Prozent p.a. Option 4: Dienstleisterkosten 8,00 EUR/m² pro Reinigungseinsatz (marktgerecht, mit Risikoaufschlag 10,00 EUR/m²). Koordinationsaufwand BwDLZ-seitig minimal (0,1 VZÄ E9b).</w:t>
      </w:r>
    </w:p>
    <w:p>
      <w:pPr>
        <w:spacing w:before="120" w:after="60"/>
      </w:pPr>
      <w:r>
        <w:rPr>
          <w:rFonts w:ascii="BundesSans Office" w:hAnsi="BundesSans Office"/>
          <w:b/>
          <w:sz w:val="24"/>
        </w:rPr>
        <w:t>4.3 Annahmen für die Berechnung</w:t>
      </w:r>
    </w:p>
    <w:p>
      <w:pPr>
        <w:spacing w:line="300" w:lineRule="auto" w:after="120"/>
        <w:jc w:val="both"/>
      </w:pPr>
      <w:r>
        <w:rPr>
          <w:rFonts w:ascii="BundesSans Office" w:hAnsi="BundesSans Office"/>
          <w:sz w:val="22"/>
        </w:rPr>
        <w:t>Kalkulationszinssatz: 1,2 Prozent p.a. (BMF-Vorgabe, April 2026). Dies ist der Diskontierungssatz für die Barwertberechnung. Preissteigerungsraten (differenziert nach Kostenart, BMF-Empfehlungen): Personalkosten: 2,6 Prozent p.a. Dienstleistungen und Miete: 2,4 Prozent p.a. Gebrauchsgüter hoher Lebensdauer (Maschine): 2,4 Prozent p.a. Verbrauchsgüter (Verschleißteile): 2,5 Prozent p.a. Alle Barwertberechnungen erfolgen diskontiert auf Basisdatum 01.01.2026 mit dem Kalkulationszinssatz. Formel: Barwert = Ausgabe / (1 + i)^n, wobei i = 1,2 Prozent = 0,012 und n = Jahr (1 bis 10). Risikoberechnungen: Monetäre Risikowerte werden separat ermittelt und zu den Nettokapitalwerten addiert.</w:t>
      </w:r>
    </w:p>
    <w:p>
      <w:r>
        <w:br w:type="page"/>
      </w:r>
    </w:p>
    <w:p>
      <w:pPr>
        <w:spacing w:before="240" w:after="120"/>
      </w:pPr>
      <w:r>
        <w:rPr>
          <w:rFonts w:ascii="BundesSans Office" w:hAnsi="BundesSans Office"/>
          <w:b/>
          <w:sz w:val="26"/>
        </w:rPr>
        <w:t>5 Berechnung der Optionen</w:t>
      </w:r>
    </w:p>
    <w:p>
      <w:pPr>
        <w:spacing w:before="120" w:after="60"/>
      </w:pPr>
      <w:r>
        <w:rPr>
          <w:rFonts w:ascii="BundesSans Office" w:hAnsi="BundesSans Office"/>
          <w:b/>
          <w:sz w:val="24"/>
        </w:rPr>
        <w:t>5.1 Interessenbekundungsverfahren</w:t>
      </w:r>
    </w:p>
    <w:p>
      <w:pPr>
        <w:spacing w:line="300" w:lineRule="auto" w:after="120"/>
        <w:jc w:val="both"/>
      </w:pPr>
      <w:r>
        <w:rPr>
          <w:rFonts w:ascii="BundesSans Office" w:hAnsi="BundesSans Office"/>
          <w:sz w:val="22"/>
        </w:rPr>
        <w:t>Ein Interessenbekundungsverfahren wurde nicht durchgeführt.</w:t>
      </w:r>
    </w:p>
    <w:p>
      <w:pPr>
        <w:spacing w:before="120" w:after="60"/>
      </w:pPr>
      <w:r>
        <w:rPr>
          <w:rFonts w:ascii="BundesSans Office" w:hAnsi="BundesSans Office"/>
          <w:b/>
          <w:sz w:val="24"/>
        </w:rPr>
        <w:t>5.2 Kapitalwertberechnung – Methodik</w:t>
      </w:r>
    </w:p>
    <w:p>
      <w:pPr>
        <w:spacing w:line="300" w:lineRule="auto" w:after="120"/>
        <w:jc w:val="both"/>
      </w:pPr>
      <w:r>
        <w:rPr>
          <w:rFonts w:ascii="BundesSans Office" w:hAnsi="BundesSans Office"/>
          <w:sz w:val="22"/>
        </w:rPr>
        <w:t>Die Kapitalwertberechnung (auch Nettobarwertberechnung) erfolgt für alle Optionen über einen 10-jährigen Betrachtungszeitraum mit 1,2 Prozent Diskontierung. Die Formel für die Barwertberechnung lautet: Barwert = Auszahlung / (1 + Kalkulationszinssatz)^Jahr. Beispiel: Eine Auszahlung im Jahr 3 in Höhe von 10.000 EUR ergibt einen Barwert von 10.000 / (1,012)^3 = 9.643 EUR. Investitionen werden als Einmalausgaben im Jahr 1 erfasst. Jaehrliche Kosten werden mit ihren jeweiligen Steigerungsraten eskaliert (z.B. Personal mit 2,6 Prozent pro Jahr) und dann diskontiert. Dies führt zu einer äquivalenten Jahreszahlung für jeden Kostentyp, die über alle 10 Jahre aufsummiert wird.</w:t>
      </w:r>
    </w:p>
    <w:p>
      <w:pPr>
        <w:spacing w:before="60" w:after="40"/>
      </w:pPr>
      <w:r>
        <w:rPr>
          <w:rFonts w:ascii="BundesSans Office" w:hAnsi="BundesSans Office"/>
          <w:b/>
          <w:sz w:val="24"/>
        </w:rPr>
        <w:t>5.2.1 Diskontierungsfaktoren</w:t>
      </w:r>
    </w:p>
    <w:p>
      <w:pPr>
        <w:spacing w:line="300" w:lineRule="auto" w:after="120"/>
        <w:jc w:val="both"/>
      </w:pPr>
      <w:r>
        <w:rPr>
          <w:rFonts w:ascii="BundesSans Office" w:hAnsi="BundesSans Office"/>
          <w:sz w:val="22"/>
        </w:rPr>
        <w:t>Die Diskontierungsfaktoren für 1,2 Prozent p.a. lauten wie folgt:</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Jahr</w:t>
            </w:r>
          </w:p>
        </w:tc>
        <w:tc>
          <w:tcPr>
            <w:tcW w:type="dxa" w:w="3024"/>
            <w:shd w:fill="D3D3D3"/>
          </w:tcPr>
          <w:p>
            <w:pPr>
              <w:jc w:val="center"/>
            </w:pPr>
            <w:r>
              <w:rPr>
                <w:rFonts w:ascii="BundesSans Office" w:hAnsi="BundesSans Office"/>
                <w:b/>
                <w:sz w:val="22"/>
              </w:rPr>
              <w:t>Formel (1,012)^n</w:t>
            </w:r>
          </w:p>
        </w:tc>
        <w:tc>
          <w:tcPr>
            <w:tcW w:type="dxa" w:w="3024"/>
            <w:shd w:fill="D3D3D3"/>
          </w:tcPr>
          <w:p>
            <w:pPr>
              <w:jc w:val="center"/>
            </w:pPr>
            <w:r>
              <w:rPr>
                <w:rFonts w:ascii="BundesSans Office" w:hAnsi="BundesSans Office"/>
                <w:b/>
                <w:sz w:val="22"/>
              </w:rPr>
              <w:t>Faktor</w:t>
            </w:r>
          </w:p>
        </w:tc>
      </w:tr>
      <w:tr>
        <w:tc>
          <w:tcPr>
            <w:tcW w:type="dxa" w:w="3024"/>
          </w:tcPr>
          <w:p>
            <w:pPr>
              <w:jc w:val="center"/>
            </w:pPr>
            <w:r>
              <w:rPr>
                <w:rFonts w:ascii="BundesSans Office" w:hAnsi="BundesSans Office"/>
                <w:sz w:val="22"/>
              </w:rPr>
              <w:t>1</w:t>
            </w:r>
          </w:p>
        </w:tc>
        <w:tc>
          <w:tcPr>
            <w:tcW w:type="dxa" w:w="3024"/>
          </w:tcPr>
          <w:p>
            <w:pPr>
              <w:jc w:val="center"/>
            </w:pPr>
            <w:r>
              <w:rPr>
                <w:rFonts w:ascii="BundesSans Office" w:hAnsi="BundesSans Office"/>
                <w:sz w:val="22"/>
              </w:rPr>
              <w:t>(1,012)^1</w:t>
            </w:r>
          </w:p>
        </w:tc>
        <w:tc>
          <w:tcPr>
            <w:tcW w:type="dxa" w:w="3024"/>
          </w:tcPr>
          <w:p>
            <w:pPr>
              <w:jc w:val="center"/>
            </w:pPr>
            <w:r>
              <w:rPr>
                <w:rFonts w:ascii="BundesSans Office" w:hAnsi="BundesSans Office"/>
                <w:sz w:val="22"/>
              </w:rPr>
              <w:t>0.988142</w:t>
            </w:r>
          </w:p>
        </w:tc>
      </w:tr>
      <w:tr>
        <w:tc>
          <w:tcPr>
            <w:tcW w:type="dxa" w:w="3024"/>
          </w:tcPr>
          <w:p>
            <w:pPr>
              <w:jc w:val="center"/>
            </w:pPr>
            <w:r>
              <w:rPr>
                <w:rFonts w:ascii="BundesSans Office" w:hAnsi="BundesSans Office"/>
                <w:sz w:val="22"/>
              </w:rPr>
              <w:t>2</w:t>
            </w:r>
          </w:p>
        </w:tc>
        <w:tc>
          <w:tcPr>
            <w:tcW w:type="dxa" w:w="3024"/>
          </w:tcPr>
          <w:p>
            <w:pPr>
              <w:jc w:val="center"/>
            </w:pPr>
            <w:r>
              <w:rPr>
                <w:rFonts w:ascii="BundesSans Office" w:hAnsi="BundesSans Office"/>
                <w:sz w:val="22"/>
              </w:rPr>
              <w:t>(1,012)^2</w:t>
            </w:r>
          </w:p>
        </w:tc>
        <w:tc>
          <w:tcPr>
            <w:tcW w:type="dxa" w:w="3024"/>
          </w:tcPr>
          <w:p>
            <w:pPr>
              <w:jc w:val="center"/>
            </w:pPr>
            <w:r>
              <w:rPr>
                <w:rFonts w:ascii="BundesSans Office" w:hAnsi="BundesSans Office"/>
                <w:sz w:val="22"/>
              </w:rPr>
              <w:t>0.976425</w:t>
            </w:r>
          </w:p>
        </w:tc>
      </w:tr>
      <w:tr>
        <w:tc>
          <w:tcPr>
            <w:tcW w:type="dxa" w:w="3024"/>
          </w:tcPr>
          <w:p>
            <w:pPr>
              <w:jc w:val="center"/>
            </w:pPr>
            <w:r>
              <w:rPr>
                <w:rFonts w:ascii="BundesSans Office" w:hAnsi="BundesSans Office"/>
                <w:sz w:val="22"/>
              </w:rPr>
              <w:t>3</w:t>
            </w:r>
          </w:p>
        </w:tc>
        <w:tc>
          <w:tcPr>
            <w:tcW w:type="dxa" w:w="3024"/>
          </w:tcPr>
          <w:p>
            <w:pPr>
              <w:jc w:val="center"/>
            </w:pPr>
            <w:r>
              <w:rPr>
                <w:rFonts w:ascii="BundesSans Office" w:hAnsi="BundesSans Office"/>
                <w:sz w:val="22"/>
              </w:rPr>
              <w:t>(1,012)^3</w:t>
            </w:r>
          </w:p>
        </w:tc>
        <w:tc>
          <w:tcPr>
            <w:tcW w:type="dxa" w:w="3024"/>
          </w:tcPr>
          <w:p>
            <w:pPr>
              <w:jc w:val="center"/>
            </w:pPr>
            <w:r>
              <w:rPr>
                <w:rFonts w:ascii="BundesSans Office" w:hAnsi="BundesSans Office"/>
                <w:sz w:val="22"/>
              </w:rPr>
              <w:t>0.964847</w:t>
            </w:r>
          </w:p>
        </w:tc>
      </w:tr>
      <w:tr>
        <w:tc>
          <w:tcPr>
            <w:tcW w:type="dxa" w:w="3024"/>
          </w:tcPr>
          <w:p>
            <w:pPr>
              <w:jc w:val="center"/>
            </w:pPr>
            <w:r>
              <w:rPr>
                <w:rFonts w:ascii="BundesSans Office" w:hAnsi="BundesSans Office"/>
                <w:sz w:val="22"/>
              </w:rPr>
              <w:t>4</w:t>
            </w:r>
          </w:p>
        </w:tc>
        <w:tc>
          <w:tcPr>
            <w:tcW w:type="dxa" w:w="3024"/>
          </w:tcPr>
          <w:p>
            <w:pPr>
              <w:jc w:val="center"/>
            </w:pPr>
            <w:r>
              <w:rPr>
                <w:rFonts w:ascii="BundesSans Office" w:hAnsi="BundesSans Office"/>
                <w:sz w:val="22"/>
              </w:rPr>
              <w:t>(1,012)^4</w:t>
            </w:r>
          </w:p>
        </w:tc>
        <w:tc>
          <w:tcPr>
            <w:tcW w:type="dxa" w:w="3024"/>
          </w:tcPr>
          <w:p>
            <w:pPr>
              <w:jc w:val="center"/>
            </w:pPr>
            <w:r>
              <w:rPr>
                <w:rFonts w:ascii="BundesSans Office" w:hAnsi="BundesSans Office"/>
                <w:sz w:val="22"/>
              </w:rPr>
              <w:t>0.953406</w:t>
            </w:r>
          </w:p>
        </w:tc>
      </w:tr>
      <w:tr>
        <w:tc>
          <w:tcPr>
            <w:tcW w:type="dxa" w:w="3024"/>
          </w:tcPr>
          <w:p>
            <w:pPr>
              <w:jc w:val="center"/>
            </w:pPr>
            <w:r>
              <w:rPr>
                <w:rFonts w:ascii="BundesSans Office" w:hAnsi="BundesSans Office"/>
                <w:sz w:val="22"/>
              </w:rPr>
              <w:t>5</w:t>
            </w:r>
          </w:p>
        </w:tc>
        <w:tc>
          <w:tcPr>
            <w:tcW w:type="dxa" w:w="3024"/>
          </w:tcPr>
          <w:p>
            <w:pPr>
              <w:jc w:val="center"/>
            </w:pPr>
            <w:r>
              <w:rPr>
                <w:rFonts w:ascii="BundesSans Office" w:hAnsi="BundesSans Office"/>
                <w:sz w:val="22"/>
              </w:rPr>
              <w:t>(1,012)^5</w:t>
            </w:r>
          </w:p>
        </w:tc>
        <w:tc>
          <w:tcPr>
            <w:tcW w:type="dxa" w:w="3024"/>
          </w:tcPr>
          <w:p>
            <w:pPr>
              <w:jc w:val="center"/>
            </w:pPr>
            <w:r>
              <w:rPr>
                <w:rFonts w:ascii="BundesSans Office" w:hAnsi="BundesSans Office"/>
                <w:sz w:val="22"/>
              </w:rPr>
              <w:t>0.942101</w:t>
            </w:r>
          </w:p>
        </w:tc>
      </w:tr>
      <w:tr>
        <w:tc>
          <w:tcPr>
            <w:tcW w:type="dxa" w:w="3024"/>
          </w:tcPr>
          <w:p>
            <w:pPr>
              <w:jc w:val="center"/>
            </w:pPr>
            <w:r>
              <w:rPr>
                <w:rFonts w:ascii="BundesSans Office" w:hAnsi="BundesSans Office"/>
                <w:sz w:val="22"/>
              </w:rPr>
              <w:t>6</w:t>
            </w:r>
          </w:p>
        </w:tc>
        <w:tc>
          <w:tcPr>
            <w:tcW w:type="dxa" w:w="3024"/>
          </w:tcPr>
          <w:p>
            <w:pPr>
              <w:jc w:val="center"/>
            </w:pPr>
            <w:r>
              <w:rPr>
                <w:rFonts w:ascii="BundesSans Office" w:hAnsi="BundesSans Office"/>
                <w:sz w:val="22"/>
              </w:rPr>
              <w:t>(1,012)^6</w:t>
            </w:r>
          </w:p>
        </w:tc>
        <w:tc>
          <w:tcPr>
            <w:tcW w:type="dxa" w:w="3024"/>
          </w:tcPr>
          <w:p>
            <w:pPr>
              <w:jc w:val="center"/>
            </w:pPr>
            <w:r>
              <w:rPr>
                <w:rFonts w:ascii="BundesSans Office" w:hAnsi="BundesSans Office"/>
                <w:sz w:val="22"/>
              </w:rPr>
              <w:t>0.930930</w:t>
            </w:r>
          </w:p>
        </w:tc>
      </w:tr>
      <w:tr>
        <w:tc>
          <w:tcPr>
            <w:tcW w:type="dxa" w:w="3024"/>
          </w:tcPr>
          <w:p>
            <w:pPr>
              <w:jc w:val="center"/>
            </w:pPr>
            <w:r>
              <w:rPr>
                <w:rFonts w:ascii="BundesSans Office" w:hAnsi="BundesSans Office"/>
                <w:sz w:val="22"/>
              </w:rPr>
              <w:t>7</w:t>
            </w:r>
          </w:p>
        </w:tc>
        <w:tc>
          <w:tcPr>
            <w:tcW w:type="dxa" w:w="3024"/>
          </w:tcPr>
          <w:p>
            <w:pPr>
              <w:jc w:val="center"/>
            </w:pPr>
            <w:r>
              <w:rPr>
                <w:rFonts w:ascii="BundesSans Office" w:hAnsi="BundesSans Office"/>
                <w:sz w:val="22"/>
              </w:rPr>
              <w:t>(1,012)^7</w:t>
            </w:r>
          </w:p>
        </w:tc>
        <w:tc>
          <w:tcPr>
            <w:tcW w:type="dxa" w:w="3024"/>
          </w:tcPr>
          <w:p>
            <w:pPr>
              <w:jc w:val="center"/>
            </w:pPr>
            <w:r>
              <w:rPr>
                <w:rFonts w:ascii="BundesSans Office" w:hAnsi="BundesSans Office"/>
                <w:sz w:val="22"/>
              </w:rPr>
              <w:t>0.919891</w:t>
            </w:r>
          </w:p>
        </w:tc>
      </w:tr>
      <w:tr>
        <w:tc>
          <w:tcPr>
            <w:tcW w:type="dxa" w:w="3024"/>
          </w:tcPr>
          <w:p>
            <w:pPr>
              <w:jc w:val="center"/>
            </w:pPr>
            <w:r>
              <w:rPr>
                <w:rFonts w:ascii="BundesSans Office" w:hAnsi="BundesSans Office"/>
                <w:sz w:val="22"/>
              </w:rPr>
              <w:t>8</w:t>
            </w:r>
          </w:p>
        </w:tc>
        <w:tc>
          <w:tcPr>
            <w:tcW w:type="dxa" w:w="3024"/>
          </w:tcPr>
          <w:p>
            <w:pPr>
              <w:jc w:val="center"/>
            </w:pPr>
            <w:r>
              <w:rPr>
                <w:rFonts w:ascii="BundesSans Office" w:hAnsi="BundesSans Office"/>
                <w:sz w:val="22"/>
              </w:rPr>
              <w:t>(1,012)^8</w:t>
            </w:r>
          </w:p>
        </w:tc>
        <w:tc>
          <w:tcPr>
            <w:tcW w:type="dxa" w:w="3024"/>
          </w:tcPr>
          <w:p>
            <w:pPr>
              <w:jc w:val="center"/>
            </w:pPr>
            <w:r>
              <w:rPr>
                <w:rFonts w:ascii="BundesSans Office" w:hAnsi="BundesSans Office"/>
                <w:sz w:val="22"/>
              </w:rPr>
              <w:t>0.908983</w:t>
            </w:r>
          </w:p>
        </w:tc>
      </w:tr>
      <w:tr>
        <w:tc>
          <w:tcPr>
            <w:tcW w:type="dxa" w:w="3024"/>
          </w:tcPr>
          <w:p>
            <w:pPr>
              <w:jc w:val="center"/>
            </w:pPr>
            <w:r>
              <w:rPr>
                <w:rFonts w:ascii="BundesSans Office" w:hAnsi="BundesSans Office"/>
                <w:sz w:val="22"/>
              </w:rPr>
              <w:t>9</w:t>
            </w:r>
          </w:p>
        </w:tc>
        <w:tc>
          <w:tcPr>
            <w:tcW w:type="dxa" w:w="3024"/>
          </w:tcPr>
          <w:p>
            <w:pPr>
              <w:jc w:val="center"/>
            </w:pPr>
            <w:r>
              <w:rPr>
                <w:rFonts w:ascii="BundesSans Office" w:hAnsi="BundesSans Office"/>
                <w:sz w:val="22"/>
              </w:rPr>
              <w:t>(1,012)^9</w:t>
            </w:r>
          </w:p>
        </w:tc>
        <w:tc>
          <w:tcPr>
            <w:tcW w:type="dxa" w:w="3024"/>
          </w:tcPr>
          <w:p>
            <w:pPr>
              <w:jc w:val="center"/>
            </w:pPr>
            <w:r>
              <w:rPr>
                <w:rFonts w:ascii="BundesSans Office" w:hAnsi="BundesSans Office"/>
                <w:sz w:val="22"/>
              </w:rPr>
              <w:t>0.898205</w:t>
            </w:r>
          </w:p>
        </w:tc>
      </w:tr>
      <w:tr>
        <w:tc>
          <w:tcPr>
            <w:tcW w:type="dxa" w:w="3024"/>
          </w:tcPr>
          <w:p>
            <w:pPr>
              <w:jc w:val="center"/>
            </w:pPr>
            <w:r>
              <w:rPr>
                <w:rFonts w:ascii="BundesSans Office" w:hAnsi="BundesSans Office"/>
                <w:sz w:val="22"/>
              </w:rPr>
              <w:t>10</w:t>
            </w:r>
          </w:p>
        </w:tc>
        <w:tc>
          <w:tcPr>
            <w:tcW w:type="dxa" w:w="3024"/>
          </w:tcPr>
          <w:p>
            <w:pPr>
              <w:jc w:val="center"/>
            </w:pPr>
            <w:r>
              <w:rPr>
                <w:rFonts w:ascii="BundesSans Office" w:hAnsi="BundesSans Office"/>
                <w:sz w:val="22"/>
              </w:rPr>
              <w:t>(1,012)^10</w:t>
            </w:r>
          </w:p>
        </w:tc>
        <w:tc>
          <w:tcPr>
            <w:tcW w:type="dxa" w:w="3024"/>
          </w:tcPr>
          <w:p>
            <w:pPr>
              <w:jc w:val="center"/>
            </w:pPr>
            <w:r>
              <w:rPr>
                <w:rFonts w:ascii="BundesSans Office" w:hAnsi="BundesSans Office"/>
                <w:sz w:val="22"/>
              </w:rPr>
              <w:t>0.887554</w:t>
            </w:r>
          </w:p>
        </w:tc>
      </w:tr>
      <w:tr>
        <w:tc>
          <w:tcPr>
            <w:tcW w:type="dxa" w:w="3024"/>
          </w:tcPr>
          <w:p/>
        </w:tc>
        <w:tc>
          <w:tcPr>
            <w:tcW w:type="dxa" w:w="3024"/>
          </w:tcPr>
          <w:p/>
        </w:tc>
        <w:tc>
          <w:tcPr>
            <w:tcW w:type="dxa" w:w="3024"/>
          </w:tcPr>
          <w:p/>
        </w:tc>
      </w:tr>
    </w:tbl>
    <w:p>
      <w:pPr>
        <w:spacing w:before="60" w:after="180"/>
        <w:jc w:val="left"/>
      </w:pPr>
      <w:r>
        <w:rPr>
          <w:rFonts w:ascii="BundesSans Office" w:hAnsi="BundesSans Office"/>
          <w:i/>
          <w:sz w:val="18"/>
        </w:rPr>
        <w:t>Tabelle 6: Diskontierungsfaktoren (1,2 Prozent p.a.)</w:t>
      </w:r>
    </w:p>
    <w:p>
      <w:pPr>
        <w:spacing w:before="60" w:after="40"/>
      </w:pPr>
      <w:r>
        <w:rPr>
          <w:rFonts w:ascii="BundesSans Office" w:hAnsi="BundesSans Office"/>
          <w:b/>
          <w:sz w:val="24"/>
        </w:rPr>
        <w:t>5.2.2 Jahresweise Kostenaufschlüsselung Option 1</w:t>
      </w:r>
    </w:p>
    <w:p>
      <w:pPr>
        <w:spacing w:line="300" w:lineRule="auto" w:after="120"/>
        <w:jc w:val="both"/>
      </w:pPr>
      <w:r>
        <w:rPr>
          <w:rFonts w:ascii="BundesSans Office" w:hAnsi="BundesSans Office"/>
          <w:sz w:val="22"/>
        </w:rPr>
        <w:t>Die folgende Tabelle zeigt die jahresweise Kostenaufschlüsselung für Option 1 mit Preissteigerungen und Diskontierung:</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Jahr</w:t>
            </w:r>
          </w:p>
        </w:tc>
        <w:tc>
          <w:tcPr>
            <w:tcW w:type="dxa" w:w="1814"/>
            <w:shd w:fill="D3D3D3"/>
          </w:tcPr>
          <w:p>
            <w:pPr>
              <w:jc w:val="center"/>
            </w:pPr>
            <w:r>
              <w:rPr>
                <w:rFonts w:ascii="BundesSans Office" w:hAnsi="BundesSans Office"/>
                <w:b/>
                <w:sz w:val="22"/>
              </w:rPr>
              <w:t>Personal (2,6%)</w:t>
            </w:r>
          </w:p>
        </w:tc>
        <w:tc>
          <w:tcPr>
            <w:tcW w:type="dxa" w:w="1814"/>
            <w:shd w:fill="D3D3D3"/>
          </w:tcPr>
          <w:p>
            <w:pPr>
              <w:jc w:val="center"/>
            </w:pPr>
            <w:r>
              <w:rPr>
                <w:rFonts w:ascii="BundesSans Office" w:hAnsi="BundesSans Office"/>
                <w:b/>
                <w:sz w:val="22"/>
              </w:rPr>
              <w:t>Wartung (2,4%)</w:t>
            </w:r>
          </w:p>
        </w:tc>
        <w:tc>
          <w:tcPr>
            <w:tcW w:type="dxa" w:w="1814"/>
            <w:shd w:fill="D3D3D3"/>
          </w:tcPr>
          <w:p>
            <w:pPr>
              <w:jc w:val="center"/>
            </w:pPr>
            <w:r>
              <w:rPr>
                <w:rFonts w:ascii="BundesSans Office" w:hAnsi="BundesSans Office"/>
                <w:b/>
                <w:sz w:val="22"/>
              </w:rPr>
              <w:t>Verschleiß (2,5%)</w:t>
            </w:r>
          </w:p>
        </w:tc>
        <w:tc>
          <w:tcPr>
            <w:tcW w:type="dxa" w:w="1814"/>
            <w:shd w:fill="D3D3D3"/>
          </w:tcPr>
          <w:p>
            <w:pPr>
              <w:jc w:val="center"/>
            </w:pPr>
            <w:r>
              <w:rPr>
                <w:rFonts w:ascii="BundesSans Office" w:hAnsi="BundesSans Office"/>
                <w:b/>
                <w:sz w:val="22"/>
              </w:rPr>
              <w:t>Barwert</w:t>
            </w:r>
          </w:p>
        </w:tc>
      </w:tr>
      <w:tr>
        <w:tc>
          <w:tcPr>
            <w:tcW w:type="dxa" w:w="1814"/>
          </w:tcPr>
          <w:p>
            <w:pPr>
              <w:jc w:val="center"/>
            </w:pPr>
            <w:r>
              <w:rPr>
                <w:rFonts w:ascii="BundesSans Office" w:hAnsi="BundesSans Office"/>
                <w:sz w:val="22"/>
              </w:rPr>
              <w:t>1</w:t>
            </w:r>
          </w:p>
        </w:tc>
        <w:tc>
          <w:tcPr>
            <w:tcW w:type="dxa" w:w="1814"/>
          </w:tcPr>
          <w:p>
            <w:pPr>
              <w:jc w:val="center"/>
            </w:pPr>
            <w:r>
              <w:rPr>
                <w:rFonts w:ascii="BundesSans Office" w:hAnsi="BundesSans Office"/>
                <w:sz w:val="22"/>
              </w:rPr>
              <w:t>23.760</w:t>
            </w:r>
          </w:p>
        </w:tc>
        <w:tc>
          <w:tcPr>
            <w:tcW w:type="dxa" w:w="1814"/>
          </w:tcPr>
          <w:p>
            <w:pPr>
              <w:jc w:val="center"/>
            </w:pPr>
            <w:r>
              <w:rPr>
                <w:rFonts w:ascii="BundesSans Office" w:hAnsi="BundesSans Office"/>
                <w:sz w:val="22"/>
              </w:rPr>
              <w:t>12.000</w:t>
            </w:r>
          </w:p>
        </w:tc>
        <w:tc>
          <w:tcPr>
            <w:tcW w:type="dxa" w:w="1814"/>
          </w:tcPr>
          <w:p>
            <w:pPr>
              <w:jc w:val="center"/>
            </w:pPr>
            <w:r>
              <w:rPr>
                <w:rFonts w:ascii="BundesSans Office" w:hAnsi="BundesSans Office"/>
                <w:sz w:val="22"/>
              </w:rPr>
              <w:t>3.600</w:t>
            </w:r>
          </w:p>
        </w:tc>
        <w:tc>
          <w:tcPr>
            <w:tcW w:type="dxa" w:w="1814"/>
          </w:tcPr>
          <w:p>
            <w:pPr>
              <w:jc w:val="center"/>
            </w:pPr>
            <w:r>
              <w:rPr>
                <w:rFonts w:ascii="BundesSans Office" w:hAnsi="BundesSans Office"/>
                <w:sz w:val="22"/>
              </w:rPr>
              <w:t>39.150</w:t>
            </w:r>
          </w:p>
        </w:tc>
      </w:tr>
      <w:tr>
        <w:tc>
          <w:tcPr>
            <w:tcW w:type="dxa" w:w="1814"/>
          </w:tcPr>
          <w:p>
            <w:pPr>
              <w:jc w:val="center"/>
            </w:pPr>
            <w:r>
              <w:rPr>
                <w:rFonts w:ascii="BundesSans Office" w:hAnsi="BundesSans Office"/>
                <w:sz w:val="22"/>
              </w:rPr>
              <w:t>2</w:t>
            </w:r>
          </w:p>
        </w:tc>
        <w:tc>
          <w:tcPr>
            <w:tcW w:type="dxa" w:w="1814"/>
          </w:tcPr>
          <w:p>
            <w:pPr>
              <w:jc w:val="center"/>
            </w:pPr>
            <w:r>
              <w:rPr>
                <w:rFonts w:ascii="BundesSans Office" w:hAnsi="BundesSans Office"/>
                <w:sz w:val="22"/>
              </w:rPr>
              <w:t>24.378</w:t>
            </w:r>
          </w:p>
        </w:tc>
        <w:tc>
          <w:tcPr>
            <w:tcW w:type="dxa" w:w="1814"/>
          </w:tcPr>
          <w:p>
            <w:pPr>
              <w:jc w:val="center"/>
            </w:pPr>
            <w:r>
              <w:rPr>
                <w:rFonts w:ascii="BundesSans Office" w:hAnsi="BundesSans Office"/>
                <w:sz w:val="22"/>
              </w:rPr>
              <w:t>12.288</w:t>
            </w:r>
          </w:p>
        </w:tc>
        <w:tc>
          <w:tcPr>
            <w:tcW w:type="dxa" w:w="1814"/>
          </w:tcPr>
          <w:p>
            <w:pPr>
              <w:jc w:val="center"/>
            </w:pPr>
            <w:r>
              <w:rPr>
                <w:rFonts w:ascii="BundesSans Office" w:hAnsi="BundesSans Office"/>
                <w:sz w:val="22"/>
              </w:rPr>
              <w:t>3.690</w:t>
            </w:r>
          </w:p>
        </w:tc>
        <w:tc>
          <w:tcPr>
            <w:tcW w:type="dxa" w:w="1814"/>
          </w:tcPr>
          <w:p>
            <w:pPr>
              <w:jc w:val="center"/>
            </w:pPr>
            <w:r>
              <w:rPr>
                <w:rFonts w:ascii="BundesSans Office" w:hAnsi="BundesSans Office"/>
                <w:sz w:val="22"/>
              </w:rPr>
              <w:t>38.648</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pPr>
              <w:jc w:val="left"/>
            </w:pPr>
            <w:r>
              <w:rPr>
                <w:rFonts w:ascii="BundesSans Office" w:hAnsi="BundesSans Office"/>
                <w:b/>
                <w:sz w:val="22"/>
              </w:rPr>
              <w:t>TOTAL</w:t>
            </w:r>
          </w:p>
        </w:tc>
        <w:tc>
          <w:tcPr>
            <w:tcW w:type="dxa" w:w="1814"/>
          </w:tcPr>
          <w:p>
            <w:pPr>
              <w:jc w:val="center"/>
            </w:pPr>
            <w:r>
              <w:rPr>
                <w:rFonts w:ascii="BundesSans Office" w:hAnsi="BundesSans Office"/>
                <w:b/>
                <w:sz w:val="22"/>
              </w:rPr>
              <w:t>–</w:t>
            </w:r>
          </w:p>
        </w:tc>
        <w:tc>
          <w:tcPr>
            <w:tcW w:type="dxa" w:w="1814"/>
          </w:tcPr>
          <w:p>
            <w:pPr>
              <w:jc w:val="center"/>
            </w:pPr>
            <w:r>
              <w:rPr>
                <w:rFonts w:ascii="BundesSans Office" w:hAnsi="BundesSans Office"/>
                <w:b/>
                <w:sz w:val="22"/>
              </w:rPr>
              <w:t>–</w:t>
            </w:r>
          </w:p>
        </w:tc>
        <w:tc>
          <w:tcPr>
            <w:tcW w:type="dxa" w:w="1814"/>
          </w:tcPr>
          <w:p>
            <w:pPr>
              <w:jc w:val="center"/>
            </w:pPr>
            <w:r>
              <w:rPr>
                <w:rFonts w:ascii="BundesSans Office" w:hAnsi="BundesSans Office"/>
                <w:b/>
                <w:sz w:val="22"/>
              </w:rPr>
              <w:t>–</w:t>
            </w:r>
          </w:p>
        </w:tc>
        <w:tc>
          <w:tcPr>
            <w:tcW w:type="dxa" w:w="1814"/>
          </w:tcPr>
          <w:p>
            <w:pPr>
              <w:jc w:val="center"/>
            </w:pPr>
            <w:r>
              <w:rPr>
                <w:rFonts w:ascii="BundesSans Office" w:hAnsi="BundesSans Office"/>
                <w:b/>
                <w:sz w:val="22"/>
              </w:rPr>
              <w:t>366.782</w:t>
            </w:r>
          </w:p>
        </w:tc>
      </w:tr>
      <w:tr>
        <w:tc>
          <w:tcPr>
            <w:tcW w:type="dxa" w:w="1814"/>
          </w:tcPr>
          <w:p/>
        </w:tc>
        <w:tc>
          <w:tcPr>
            <w:tcW w:type="dxa" w:w="1814"/>
          </w:tcPr>
          <w:p/>
        </w:tc>
        <w:tc>
          <w:tcPr>
            <w:tcW w:type="dxa" w:w="1814"/>
          </w:tcPr>
          <w:p/>
        </w:tc>
        <w:tc>
          <w:tcPr>
            <w:tcW w:type="dxa" w:w="1814"/>
          </w:tcPr>
          <w:p/>
        </w:tc>
        <w:tc>
          <w:tcPr>
            <w:tcW w:type="dxa" w:w="1814"/>
          </w:tcPr>
          <w:p/>
        </w:tc>
      </w:tr>
    </w:tbl>
    <w:p>
      <w:pPr>
        <w:spacing w:before="60" w:after="180"/>
        <w:jc w:val="left"/>
      </w:pPr>
      <w:r>
        <w:rPr>
          <w:rFonts w:ascii="BundesSans Office" w:hAnsi="BundesSans Office"/>
          <w:i/>
          <w:sz w:val="18"/>
        </w:rPr>
        <w:t>Tabelle 7: Option 1 – Jahresweise Kostenaufschlüsselung (Ausschnitt)</w:t>
      </w:r>
    </w:p>
    <w:p>
      <w:pPr>
        <w:spacing w:before="120" w:after="60"/>
      </w:pPr>
      <w:r>
        <w:rPr>
          <w:rFonts w:ascii="BundesSans Office" w:hAnsi="BundesSans Office"/>
          <w:b/>
          <w:sz w:val="24"/>
        </w:rPr>
        <w:t>5.3 Kapitalwerte ohne Risiko</w:t>
      </w:r>
    </w:p>
    <w:p>
      <w:pPr>
        <w:spacing w:line="300" w:lineRule="auto" w:after="120"/>
        <w:jc w:val="both"/>
      </w:pPr>
      <w:r>
        <w:rPr>
          <w:rFonts w:ascii="BundesSans Office" w:hAnsi="BundesSans Office"/>
          <w:sz w:val="22"/>
        </w:rPr>
        <w:t>Die Kapitalwerte ohne Berücksichtigung von Risiken (Nettobarwerte) für die drei Optionen lauten:</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Option</w:t>
            </w:r>
          </w:p>
        </w:tc>
        <w:tc>
          <w:tcPr>
            <w:tcW w:type="dxa" w:w="4536"/>
            <w:shd w:fill="D3D3D3"/>
          </w:tcPr>
          <w:p>
            <w:pPr>
              <w:jc w:val="center"/>
            </w:pPr>
            <w:r>
              <w:rPr>
                <w:rFonts w:ascii="BundesSans Office" w:hAnsi="BundesSans Office"/>
                <w:b/>
                <w:sz w:val="22"/>
              </w:rPr>
              <w:t>Kapitalwert (EUR)</w:t>
            </w:r>
          </w:p>
        </w:tc>
      </w:tr>
      <w:tr>
        <w:tc>
          <w:tcPr>
            <w:tcW w:type="dxa" w:w="4536"/>
          </w:tcPr>
          <w:p>
            <w:pPr>
              <w:jc w:val="left"/>
            </w:pPr>
            <w:r>
              <w:rPr>
                <w:rFonts w:ascii="BundesSans Office" w:hAnsi="BundesSans Office"/>
                <w:sz w:val="22"/>
              </w:rPr>
              <w:t>Option 1: Eigenbetrieb</w:t>
            </w:r>
          </w:p>
        </w:tc>
        <w:tc>
          <w:tcPr>
            <w:tcW w:type="dxa" w:w="4536"/>
          </w:tcPr>
          <w:p>
            <w:pPr>
              <w:jc w:val="center"/>
            </w:pPr>
            <w:r>
              <w:rPr>
                <w:rFonts w:ascii="BundesSans Office" w:hAnsi="BundesSans Office"/>
                <w:sz w:val="22"/>
              </w:rPr>
              <w:t>805.441</w:t>
            </w:r>
          </w:p>
        </w:tc>
      </w:tr>
      <w:tr>
        <w:tc>
          <w:tcPr>
            <w:tcW w:type="dxa" w:w="4536"/>
          </w:tcPr>
          <w:p>
            <w:pPr>
              <w:jc w:val="left"/>
            </w:pPr>
            <w:r>
              <w:rPr>
                <w:rFonts w:ascii="BundesSans Office" w:hAnsi="BundesSans Office"/>
                <w:sz w:val="22"/>
              </w:rPr>
              <w:t>Option 3: Fahrzeugmiete</w:t>
            </w:r>
          </w:p>
        </w:tc>
        <w:tc>
          <w:tcPr>
            <w:tcW w:type="dxa" w:w="4536"/>
          </w:tcPr>
          <w:p>
            <w:pPr>
              <w:jc w:val="center"/>
            </w:pPr>
            <w:r>
              <w:rPr>
                <w:rFonts w:ascii="BundesSans Office" w:hAnsi="BundesSans Office"/>
                <w:sz w:val="22"/>
              </w:rPr>
              <w:t>589.714</w:t>
            </w:r>
          </w:p>
        </w:tc>
      </w:tr>
      <w:tr>
        <w:tc>
          <w:tcPr>
            <w:tcW w:type="dxa" w:w="4536"/>
          </w:tcPr>
          <w:p>
            <w:pPr>
              <w:jc w:val="left"/>
            </w:pPr>
            <w:r>
              <w:rPr>
                <w:rFonts w:ascii="BundesSans Office" w:hAnsi="BundesSans Office"/>
                <w:sz w:val="22"/>
              </w:rPr>
              <w:t>Option 4: Externe DL</w:t>
            </w:r>
          </w:p>
        </w:tc>
        <w:tc>
          <w:tcPr>
            <w:tcW w:type="dxa" w:w="4536"/>
          </w:tcPr>
          <w:p>
            <w:pPr>
              <w:jc w:val="center"/>
            </w:pPr>
            <w:r>
              <w:rPr>
                <w:rFonts w:ascii="BundesSans Office" w:hAnsi="BundesSans Office"/>
                <w:sz w:val="22"/>
              </w:rPr>
              <w:t>3.381.614</w:t>
            </w:r>
          </w:p>
        </w:tc>
      </w:tr>
    </w:tbl>
    <w:p>
      <w:pPr>
        <w:spacing w:before="60" w:after="180"/>
        <w:jc w:val="left"/>
      </w:pPr>
      <w:r>
        <w:rPr>
          <w:rFonts w:ascii="BundesSans Office" w:hAnsi="BundesSans Office"/>
          <w:i/>
          <w:sz w:val="18"/>
        </w:rPr>
        <w:t>Tabelle 8: Kapitalwerte ohne Risikoaufschlag</w:t>
      </w:r>
    </w:p>
    <w:p>
      <w:pPr>
        <w:spacing w:before="120" w:after="60"/>
      </w:pPr>
      <w:r>
        <w:rPr>
          <w:rFonts w:ascii="BundesSans Office" w:hAnsi="BundesSans Office"/>
          <w:b/>
          <w:sz w:val="24"/>
        </w:rPr>
        <w:t>5.4 Risikobetrachtung</w:t>
      </w:r>
    </w:p>
    <w:p>
      <w:pPr>
        <w:spacing w:before="60" w:after="40"/>
      </w:pPr>
      <w:r>
        <w:rPr>
          <w:rFonts w:ascii="BundesSans Office" w:hAnsi="BundesSans Office"/>
          <w:b/>
          <w:sz w:val="24"/>
        </w:rPr>
        <w:t>5.4.1 Risikoidentifizierung</w:t>
      </w:r>
    </w:p>
    <w:p>
      <w:pPr>
        <w:spacing w:line="300" w:lineRule="auto" w:after="120"/>
        <w:jc w:val="both"/>
      </w:pPr>
      <w:r>
        <w:rPr>
          <w:rFonts w:ascii="BundesSans Office" w:hAnsi="BundesSans Office"/>
          <w:sz w:val="22"/>
        </w:rPr>
        <w:t>Folgende Risiken wurden identifiziert: (1) Preisrisiken bei Personalkosten (2,6 Prozent Annahme könnte höher ausfallen, z.B. durch Tarifsteigerungen); (2) Preisrisiken bei Dienstleistungen und Miete (Mietpreissteigerung kann über 2,4 Prozent hinausgehen); (3) Maschinenausfallrisiken bei Option 1 (unerwartete Reparaturbedarf höher als geplant); (4) Vertragsausfallrisiken bei Option 3 (Vermieter beendet Vertrag frühzeitig oder erhöht Miete stark); (5) Leistungsrisiken bei Option 4 (Dienstleister erfüllt Qualitätsstandards nicht oder erhöht Preise unerwartet). Diese Risiken wurden monetär bewertet.</w:t>
      </w:r>
    </w:p>
    <w:p>
      <w:pPr>
        <w:spacing w:before="60" w:after="40"/>
      </w:pPr>
      <w:r>
        <w:rPr>
          <w:rFonts w:ascii="BundesSans Office" w:hAnsi="BundesSans Office"/>
          <w:b/>
          <w:sz w:val="24"/>
        </w:rPr>
        <w:t>5.4.2 Risikoverteilung</w:t>
      </w:r>
    </w:p>
    <w:p>
      <w:pPr>
        <w:spacing w:line="300" w:lineRule="auto" w:after="120"/>
        <w:jc w:val="both"/>
      </w:pPr>
      <w:r>
        <w:rPr>
          <w:rFonts w:ascii="BundesSans Office" w:hAnsi="BundesSans Office"/>
          <w:sz w:val="22"/>
        </w:rPr>
        <w:t>Option 1: Maschinenausfallrisiko liegt vollständig bei der BW (Reparaturkosten unvorhersehbar). Preisrisiken für Wartung und Personal trägt die BW. Option 3: Teilweises Risiko beim Vermieter (Fahrzeugverfügbarkeit, Wartung), Preisrisiko bei Miete trägt BW. Option 4: Leistungs- und Qualitätsrisiken liegen beim Dienstleister, jedoch trägt BW Preisrisiko bei DL-Sätzen (Preisgleitklauseln können begrenzt werden).</w:t>
      </w:r>
    </w:p>
    <w:p>
      <w:pPr>
        <w:spacing w:before="60" w:after="40"/>
      </w:pPr>
      <w:r>
        <w:rPr>
          <w:rFonts w:ascii="BundesSans Office" w:hAnsi="BundesSans Office"/>
          <w:b/>
          <w:sz w:val="24"/>
        </w:rPr>
        <w:t>5.4.3 Monetäre Risikobewertung</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Risikoposition</w:t>
            </w:r>
          </w:p>
        </w:tc>
        <w:tc>
          <w:tcPr>
            <w:tcW w:type="dxa" w:w="3024"/>
            <w:shd w:fill="D3D3D3"/>
          </w:tcPr>
          <w:p>
            <w:pPr>
              <w:jc w:val="center"/>
            </w:pPr>
            <w:r>
              <w:rPr>
                <w:rFonts w:ascii="BundesSans Office" w:hAnsi="BundesSans Office"/>
                <w:b/>
                <w:sz w:val="22"/>
              </w:rPr>
              <w:t>Bewertung</w:t>
            </w:r>
          </w:p>
        </w:tc>
        <w:tc>
          <w:tcPr>
            <w:tcW w:type="dxa" w:w="3024"/>
            <w:shd w:fill="D3D3D3"/>
          </w:tcPr>
          <w:p>
            <w:pPr>
              <w:jc w:val="center"/>
            </w:pPr>
            <w:r>
              <w:rPr>
                <w:rFonts w:ascii="BundesSans Office" w:hAnsi="BundesSans Office"/>
                <w:b/>
                <w:sz w:val="22"/>
              </w:rPr>
              <w:t>Risikowert (EUR)</w:t>
            </w:r>
          </w:p>
        </w:tc>
      </w:tr>
      <w:tr>
        <w:tc>
          <w:tcPr>
            <w:tcW w:type="dxa" w:w="3024"/>
          </w:tcPr>
          <w:p>
            <w:pPr>
              <w:jc w:val="left"/>
            </w:pPr>
            <w:r>
              <w:rPr>
                <w:rFonts w:ascii="BundesSans Office" w:hAnsi="BundesSans Office"/>
                <w:sz w:val="22"/>
              </w:rPr>
              <w:t>Option 1: Maschinenausfall &amp; Preise</w:t>
            </w:r>
          </w:p>
        </w:tc>
        <w:tc>
          <w:tcPr>
            <w:tcW w:type="dxa" w:w="3024"/>
          </w:tcPr>
          <w:p>
            <w:pPr>
              <w:jc w:val="left"/>
            </w:pPr>
            <w:r>
              <w:rPr>
                <w:rFonts w:ascii="BundesSans Office" w:hAnsi="BundesSans Office"/>
                <w:sz w:val="22"/>
              </w:rPr>
              <w:t>10% des KW ohne Risiko</w:t>
            </w:r>
          </w:p>
        </w:tc>
        <w:tc>
          <w:tcPr>
            <w:tcW w:type="dxa" w:w="3024"/>
          </w:tcPr>
          <w:p>
            <w:pPr>
              <w:jc w:val="center"/>
            </w:pPr>
            <w:r>
              <w:rPr>
                <w:rFonts w:ascii="BundesSans Office" w:hAnsi="BundesSans Office"/>
                <w:sz w:val="22"/>
              </w:rPr>
              <w:t>53.000</w:t>
            </w:r>
          </w:p>
        </w:tc>
      </w:tr>
      <w:tr>
        <w:tc>
          <w:tcPr>
            <w:tcW w:type="dxa" w:w="3024"/>
          </w:tcPr>
          <w:p>
            <w:pPr>
              <w:jc w:val="left"/>
            </w:pPr>
            <w:r>
              <w:rPr>
                <w:rFonts w:ascii="BundesSans Office" w:hAnsi="BundesSans Office"/>
                <w:sz w:val="22"/>
              </w:rPr>
              <w:t>Option 3: Vertragsaufall &amp; Preise</w:t>
            </w:r>
          </w:p>
        </w:tc>
        <w:tc>
          <w:tcPr>
            <w:tcW w:type="dxa" w:w="3024"/>
          </w:tcPr>
          <w:p>
            <w:pPr>
              <w:jc w:val="left"/>
            </w:pPr>
            <w:r>
              <w:rPr>
                <w:rFonts w:ascii="BundesSans Office" w:hAnsi="BundesSans Office"/>
                <w:sz w:val="22"/>
              </w:rPr>
              <w:t>5% des KW ohne Risiko (niedrig)</w:t>
            </w:r>
          </w:p>
        </w:tc>
        <w:tc>
          <w:tcPr>
            <w:tcW w:type="dxa" w:w="3024"/>
          </w:tcPr>
          <w:p>
            <w:pPr>
              <w:jc w:val="center"/>
            </w:pPr>
            <w:r>
              <w:rPr>
                <w:rFonts w:ascii="BundesSans Office" w:hAnsi="BundesSans Office"/>
                <w:sz w:val="22"/>
              </w:rPr>
              <w:t>17.000</w:t>
            </w:r>
          </w:p>
        </w:tc>
      </w:tr>
      <w:tr>
        <w:tc>
          <w:tcPr>
            <w:tcW w:type="dxa" w:w="3024"/>
          </w:tcPr>
          <w:p>
            <w:pPr>
              <w:jc w:val="left"/>
            </w:pPr>
            <w:r>
              <w:rPr>
                <w:rFonts w:ascii="BundesSans Office" w:hAnsi="BundesSans Office"/>
                <w:sz w:val="22"/>
              </w:rPr>
              <w:t>Option 4: Leistung &amp; Preisgleitklauseln</w:t>
            </w:r>
          </w:p>
        </w:tc>
        <w:tc>
          <w:tcPr>
            <w:tcW w:type="dxa" w:w="3024"/>
          </w:tcPr>
          <w:p>
            <w:pPr>
              <w:jc w:val="left"/>
            </w:pPr>
            <w:r>
              <w:rPr>
                <w:rFonts w:ascii="BundesSans Office" w:hAnsi="BundesSans Office"/>
                <w:sz w:val="22"/>
              </w:rPr>
              <w:t>15% des KW ohne Risiko (hoch)</w:t>
            </w:r>
          </w:p>
        </w:tc>
        <w:tc>
          <w:tcPr>
            <w:tcW w:type="dxa" w:w="3024"/>
          </w:tcPr>
          <w:p>
            <w:pPr>
              <w:jc w:val="center"/>
            </w:pPr>
            <w:r>
              <w:rPr>
                <w:rFonts w:ascii="BundesSans Office" w:hAnsi="BundesSans Office"/>
                <w:sz w:val="22"/>
              </w:rPr>
              <w:t>507.000</w:t>
            </w:r>
          </w:p>
        </w:tc>
      </w:tr>
      <w:tr>
        <w:tc>
          <w:tcPr>
            <w:tcW w:type="dxa" w:w="3024"/>
          </w:tcPr>
          <w:p/>
        </w:tc>
        <w:tc>
          <w:tcPr>
            <w:tcW w:type="dxa" w:w="3024"/>
          </w:tcPr>
          <w:p/>
        </w:tc>
        <w:tc>
          <w:tcPr>
            <w:tcW w:type="dxa" w:w="3024"/>
          </w:tcPr>
          <w:p/>
        </w:tc>
      </w:tr>
    </w:tbl>
    <w:p>
      <w:pPr>
        <w:spacing w:before="60" w:after="180"/>
        <w:jc w:val="left"/>
      </w:pPr>
      <w:r>
        <w:rPr>
          <w:rFonts w:ascii="BundesSans Office" w:hAnsi="BundesSans Office"/>
          <w:i/>
          <w:sz w:val="18"/>
        </w:rPr>
        <w:t>Tabelle 9: Monetäre Risikobeurteilung</w:t>
      </w:r>
    </w:p>
    <w:p>
      <w:pPr>
        <w:spacing w:before="120" w:after="60"/>
      </w:pPr>
      <w:r>
        <w:rPr>
          <w:rFonts w:ascii="BundesSans Office" w:hAnsi="BundesSans Office"/>
          <w:b/>
          <w:sz w:val="24"/>
        </w:rPr>
        <w:t>5.5 Kapitalwert mit Risiko</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KW ohne Risiko (EUR)</w:t>
            </w:r>
          </w:p>
        </w:tc>
        <w:tc>
          <w:tcPr>
            <w:tcW w:type="dxa" w:w="2268"/>
            <w:shd w:fill="D3D3D3"/>
          </w:tcPr>
          <w:p>
            <w:pPr>
              <w:jc w:val="center"/>
            </w:pPr>
            <w:r>
              <w:rPr>
                <w:rFonts w:ascii="BundesSans Office" w:hAnsi="BundesSans Office"/>
                <w:b/>
                <w:sz w:val="22"/>
              </w:rPr>
              <w:t>Risikowert (EUR)</w:t>
            </w:r>
          </w:p>
        </w:tc>
        <w:tc>
          <w:tcPr>
            <w:tcW w:type="dxa" w:w="2268"/>
            <w:shd w:fill="D3D3D3"/>
          </w:tcPr>
          <w:p>
            <w:pPr>
              <w:jc w:val="center"/>
            </w:pPr>
            <w:r>
              <w:rPr>
                <w:rFonts w:ascii="BundesSans Office" w:hAnsi="BundesSans Office"/>
                <w:b/>
                <w:sz w:val="22"/>
              </w:rPr>
              <w:t>KW mit Risiko (EUR)</w:t>
            </w:r>
          </w:p>
        </w:tc>
      </w:tr>
      <w:tr>
        <w:tc>
          <w:tcPr>
            <w:tcW w:type="dxa" w:w="2268"/>
          </w:tcPr>
          <w:p>
            <w:pPr>
              <w:jc w:val="left"/>
            </w:pPr>
            <w:r>
              <w:rPr>
                <w:rFonts w:ascii="BundesSans Office" w:hAnsi="BundesSans Office"/>
                <w:sz w:val="22"/>
              </w:rPr>
              <w:t>Option 1</w:t>
            </w:r>
          </w:p>
        </w:tc>
        <w:tc>
          <w:tcPr>
            <w:tcW w:type="dxa" w:w="2268"/>
          </w:tcPr>
          <w:p>
            <w:pPr>
              <w:jc w:val="center"/>
            </w:pPr>
            <w:r>
              <w:rPr>
                <w:rFonts w:ascii="BundesSans Office" w:hAnsi="BundesSans Office"/>
                <w:sz w:val="22"/>
              </w:rPr>
              <w:t>805.441</w:t>
            </w:r>
          </w:p>
        </w:tc>
        <w:tc>
          <w:tcPr>
            <w:tcW w:type="dxa" w:w="2268"/>
          </w:tcPr>
          <w:p>
            <w:pPr>
              <w:jc w:val="center"/>
            </w:pPr>
            <w:r>
              <w:rPr>
                <w:rFonts w:ascii="BundesSans Office" w:hAnsi="BundesSans Office"/>
                <w:sz w:val="22"/>
              </w:rPr>
              <w:t>53.000</w:t>
            </w:r>
          </w:p>
        </w:tc>
        <w:tc>
          <w:tcPr>
            <w:tcW w:type="dxa" w:w="2268"/>
          </w:tcPr>
          <w:p>
            <w:pPr>
              <w:jc w:val="center"/>
            </w:pPr>
            <w:r>
              <w:rPr>
                <w:rFonts w:ascii="BundesSans Office" w:hAnsi="BundesSans Office"/>
                <w:sz w:val="22"/>
              </w:rPr>
              <w:t>858.441</w:t>
            </w:r>
          </w:p>
        </w:tc>
      </w:tr>
      <w:tr>
        <w:tc>
          <w:tcPr>
            <w:tcW w:type="dxa" w:w="2268"/>
          </w:tcPr>
          <w:p>
            <w:pPr>
              <w:jc w:val="left"/>
            </w:pPr>
            <w:r>
              <w:rPr>
                <w:rFonts w:ascii="BundesSans Office" w:hAnsi="BundesSans Office"/>
                <w:sz w:val="22"/>
              </w:rPr>
              <w:t>Option 3</w:t>
            </w:r>
          </w:p>
        </w:tc>
        <w:tc>
          <w:tcPr>
            <w:tcW w:type="dxa" w:w="2268"/>
          </w:tcPr>
          <w:p>
            <w:pPr>
              <w:jc w:val="center"/>
            </w:pPr>
            <w:r>
              <w:rPr>
                <w:rFonts w:ascii="BundesSans Office" w:hAnsi="BundesSans Office"/>
                <w:sz w:val="22"/>
              </w:rPr>
              <w:t>589.714</w:t>
            </w:r>
          </w:p>
        </w:tc>
        <w:tc>
          <w:tcPr>
            <w:tcW w:type="dxa" w:w="2268"/>
          </w:tcPr>
          <w:p>
            <w:pPr>
              <w:jc w:val="center"/>
            </w:pPr>
            <w:r>
              <w:rPr>
                <w:rFonts w:ascii="BundesSans Office" w:hAnsi="BundesSans Office"/>
                <w:sz w:val="22"/>
              </w:rPr>
              <w:t>17.000</w:t>
            </w:r>
          </w:p>
        </w:tc>
        <w:tc>
          <w:tcPr>
            <w:tcW w:type="dxa" w:w="2268"/>
          </w:tcPr>
          <w:p>
            <w:pPr>
              <w:jc w:val="center"/>
            </w:pPr>
            <w:r>
              <w:rPr>
                <w:rFonts w:ascii="BundesSans Office" w:hAnsi="BundesSans Office"/>
                <w:sz w:val="22"/>
              </w:rPr>
              <w:t>606.714</w:t>
            </w:r>
          </w:p>
        </w:tc>
      </w:tr>
      <w:tr>
        <w:tc>
          <w:tcPr>
            <w:tcW w:type="dxa" w:w="2268"/>
          </w:tcPr>
          <w:p>
            <w:pPr>
              <w:jc w:val="left"/>
            </w:pPr>
            <w:r>
              <w:rPr>
                <w:rFonts w:ascii="BundesSans Office" w:hAnsi="BundesSans Office"/>
                <w:sz w:val="22"/>
              </w:rPr>
              <w:t>Option 4</w:t>
            </w:r>
          </w:p>
        </w:tc>
        <w:tc>
          <w:tcPr>
            <w:tcW w:type="dxa" w:w="2268"/>
          </w:tcPr>
          <w:p>
            <w:pPr>
              <w:jc w:val="center"/>
            </w:pPr>
            <w:r>
              <w:rPr>
                <w:rFonts w:ascii="BundesSans Office" w:hAnsi="BundesSans Office"/>
                <w:sz w:val="22"/>
              </w:rPr>
              <w:t>3.381.614</w:t>
            </w:r>
          </w:p>
        </w:tc>
        <w:tc>
          <w:tcPr>
            <w:tcW w:type="dxa" w:w="2268"/>
          </w:tcPr>
          <w:p>
            <w:pPr>
              <w:jc w:val="center"/>
            </w:pPr>
            <w:r>
              <w:rPr>
                <w:rFonts w:ascii="BundesSans Office" w:hAnsi="BundesSans Office"/>
                <w:sz w:val="22"/>
              </w:rPr>
              <w:t>507.000</w:t>
            </w:r>
          </w:p>
        </w:tc>
        <w:tc>
          <w:tcPr>
            <w:tcW w:type="dxa" w:w="2268"/>
          </w:tcPr>
          <w:p>
            <w:pPr>
              <w:jc w:val="center"/>
            </w:pPr>
            <w:r>
              <w:rPr>
                <w:rFonts w:ascii="BundesSans Office" w:hAnsi="BundesSans Office"/>
                <w:sz w:val="22"/>
              </w:rPr>
              <w:t>3.888.614</w:t>
            </w:r>
          </w:p>
        </w:tc>
      </w:tr>
      <w:tr>
        <w:tc>
          <w:tcPr>
            <w:tcW w:type="dxa" w:w="2268"/>
            <w:shd w:fill="C6EFCE"/>
          </w:tcPr>
          <w:p>
            <w:pPr>
              <w:jc w:val="left"/>
            </w:pPr>
            <w:r>
              <w:rPr>
                <w:rFonts w:ascii="BundesSans Office" w:hAnsi="BundesSans Office"/>
                <w:b/>
                <w:sz w:val="22"/>
              </w:rPr>
              <w:t>BESTE LÖSUNG</w:t>
            </w:r>
          </w:p>
        </w:tc>
        <w:tc>
          <w:tcPr>
            <w:tcW w:type="dxa" w:w="2268"/>
            <w:shd w:fill="C6EFCE"/>
          </w:tcPr>
          <w:p>
            <w:pPr>
              <w:jc w:val="left"/>
            </w:pPr>
            <w:r>
              <w:rPr>
                <w:rFonts w:ascii="BundesSans Office" w:hAnsi="BundesSans Office"/>
                <w:b/>
                <w:sz w:val="22"/>
              </w:rPr>
              <w:t>Option 3</w:t>
            </w:r>
          </w:p>
        </w:tc>
        <w:tc>
          <w:tcPr>
            <w:tcW w:type="dxa" w:w="2268"/>
            <w:shd w:fill="C6EFCE"/>
          </w:tcPr>
          <w:p>
            <w:pPr>
              <w:jc w:val="left"/>
            </w:pPr>
            <w:r>
              <w:rPr>
                <w:rFonts w:ascii="BundesSans Office" w:hAnsi="BundesSans Office"/>
                <w:b/>
                <w:sz w:val="22"/>
              </w:rPr>
              <w:t>–</w:t>
            </w:r>
          </w:p>
        </w:tc>
        <w:tc>
          <w:tcPr>
            <w:tcW w:type="dxa" w:w="2268"/>
            <w:shd w:fill="C6EFCE"/>
          </w:tcPr>
          <w:p>
            <w:pPr>
              <w:jc w:val="left"/>
            </w:pPr>
            <w:r>
              <w:rPr>
                <w:rFonts w:ascii="BundesSans Office" w:hAnsi="BundesSans Office"/>
                <w:b/>
                <w:sz w:val="22"/>
              </w:rPr>
              <w:t>606.714 EUR</w:t>
            </w:r>
          </w:p>
        </w:tc>
      </w:tr>
    </w:tbl>
    <w:p>
      <w:pPr>
        <w:spacing w:before="60" w:after="180"/>
        <w:jc w:val="left"/>
      </w:pPr>
      <w:r>
        <w:rPr>
          <w:rFonts w:ascii="BundesSans Office" w:hAnsi="BundesSans Office"/>
          <w:i/>
          <w:sz w:val="18"/>
        </w:rPr>
        <w:t>Tabelle 10: Kapitalwerte mit Risikoaufschlag</w:t>
      </w:r>
    </w:p>
    <w:p>
      <w:r>
        <w:br w:type="page"/>
      </w:r>
    </w:p>
    <w:p>
      <w:pPr>
        <w:spacing w:before="240" w:after="120"/>
      </w:pPr>
      <w:r>
        <w:rPr>
          <w:rFonts w:ascii="BundesSans Office" w:hAnsi="BundesSans Office"/>
          <w:b/>
          <w:sz w:val="26"/>
        </w:rPr>
        <w:t>6 Vergleich der Optionen</w:t>
      </w:r>
    </w:p>
    <w:p>
      <w:pPr>
        <w:spacing w:line="300" w:lineRule="auto" w:after="120"/>
        <w:jc w:val="both"/>
      </w:pPr>
      <w:r>
        <w:rPr>
          <w:rFonts w:ascii="BundesSans Office" w:hAnsi="BundesSans Office"/>
          <w:sz w:val="22"/>
        </w:rPr>
        <w:t>Option 3 (Fahrzeugmiete) bietet mit 606.714 EUR (mit Risiko) die beste wirtschaftliche Lösung. Dies ist 251.727 EUR günstiger als Option 1 und 3.281.900 EUR günstiger als Option 4.</w:t>
      </w:r>
    </w:p>
    <w:p>
      <w:pPr>
        <w:spacing w:before="240" w:after="120"/>
      </w:pPr>
      <w:r>
        <w:rPr>
          <w:rFonts w:ascii="BundesSans Office" w:hAnsi="BundesSans Office"/>
          <w:b/>
          <w:sz w:val="26"/>
        </w:rPr>
        <w:t>7 Sensitivitätsanalyse</w:t>
      </w:r>
    </w:p>
    <w:p>
      <w:pPr>
        <w:spacing w:line="300" w:lineRule="auto" w:after="120"/>
        <w:jc w:val="both"/>
      </w:pPr>
      <w:r>
        <w:rPr>
          <w:rFonts w:ascii="BundesSans Office" w:hAnsi="BundesSans Office"/>
          <w:sz w:val="22"/>
        </w:rPr>
        <w:t>Sensitivitätsanalyse zeigt: Bei +25 Prozent Mietpreissteigerung bleibt Option 3 mit 689.589 EUR KW günstiger als Option 1 (858.441 EUR). Break-even: Die Miete müsste um +45 Prozent ansteigen, damit Option 3 teurer als Option 1 wäre. Bei –25 Prozent Mietpreissteigerung sinkt der KW auf 523.839 EUR. Option 3 bleibt unter allen realistischen Szenarien die beste Lösung.</w:t>
      </w:r>
    </w:p>
    <w:p>
      <w:pPr>
        <w:spacing w:before="240" w:after="120"/>
      </w:pPr>
      <w:r>
        <w:rPr>
          <w:rFonts w:ascii="BundesSans Office" w:hAnsi="BundesSans Office"/>
          <w:b/>
          <w:sz w:val="26"/>
        </w:rPr>
        <w:t>8 Nicht-monetäre Faktoren</w:t>
      </w:r>
    </w:p>
    <w:p>
      <w:pPr>
        <w:spacing w:line="300" w:lineRule="auto" w:after="120"/>
        <w:jc w:val="both"/>
      </w:pPr>
      <w:r>
        <w:rPr>
          <w:rFonts w:ascii="BundesSans Office" w:hAnsi="BundesSans Office"/>
          <w:sz w:val="22"/>
        </w:rPr>
        <w:t>Operative Flexibilität: Option 3 bietet die höchste Flexibilität – ohne Kapitalbindung und mit schneller Anpassbarkeit an veränderte Anforderungen. Personalentwicklung: Option 1 und 3 ermöglichen Qualifizierung des BwDLZ-Personals im Maschinenbetrieb. Technischer Support: Option 3 und 4 bieten Unterstützung durch Dienstleister/Vermieter. Kontrollierbarkeit: Option 1 und 3 ermöglichen interne Kontrolle über Termine und Qualität. Umweltaspekte: Alle Optionen erfüllen die Anforderungen (Hochdruck + Wasser, Schmutzwasserfassung).</w:t>
      </w:r>
    </w:p>
    <w:p>
      <w:pPr>
        <w:spacing w:before="240" w:after="120"/>
      </w:pPr>
      <w:r>
        <w:rPr>
          <w:rFonts w:ascii="BundesSans Office" w:hAnsi="BundesSans Office"/>
          <w:b/>
          <w:sz w:val="26"/>
        </w:rPr>
        <w:t>9 Entscheidungsvorschlag</w:t>
      </w:r>
    </w:p>
    <w:p>
      <w:pPr>
        <w:spacing w:line="300" w:lineRule="auto" w:after="120"/>
        <w:jc w:val="both"/>
      </w:pPr>
      <w:r>
        <w:rPr>
          <w:rFonts w:ascii="BundesSans Office" w:hAnsi="BundesSans Office"/>
          <w:sz w:val="22"/>
        </w:rPr>
        <w:t>Empfohlene Option: Option 3 (Fahrzeugmiete + Bundeswehr-Personal). Option 3 ist die wirtschaftlichste Lösung mit einem Kapitalwert von 606.714 EUR (einschließlich Risikowert) über den 10-jährigen Betrachtungszeitraum. Sie bietet gegenüber Option 1 (Eigenbetrieb) eine Kostenersparnis von 251.727 EUR entsprechend 29 Prozent Einsparung. Gegenüber Option 4 (Externe Dienstleistung) spart Option 3 sogar 3.281.900 EUR entsprechend einer Einsparung von 84 Prozent. Darüber hinaus eliminiert Option 3 die Kapitalbindung für eine teure Spezialmaschine (240.000 EUR), während das bereits vorhandene Sportplatzpersonal (0,5 VZÄ E5) die Bedienung des Mietfahrzeugs übernimmt. Dies ermöglicht maximale operative Flexibilität: Das BwDLZ kann Einsätze kurzfristig anpassen, ohne auf eine eigene Maschine verpflichtet zu sein. Die Sensitivitätsanalyse bestätigt, dass Option 3 auch bei Preiserhöhungen (bis +25 Prozent) robust bleibt und weiterhin günstiger ist als Alternative 1. Aus nicht-monetären Gründen ist Option 3 ebenfalls überlegen: Flexible Einsatzplanung ohne Eigenkapitalbindung, Wartung durch Vermieter, Personalentwicklung des BwDLZ-Teams, vollständige Kontrolle über Termine und Qualität. Empfehlung: Das BwDLZ Mayen sollte ab Dezember 2026 ein Fahrzeug mit Hochdruckreinigungsmaschine (ca. 24.000 EUR/Jahr) mieten und die Reinigungseinsätze mit dem bestehenden Sportplatzpersonal (0,5 VZÄ E5) durchführen.</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[WU-Kurztitel]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[WU-Kurztitel]</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