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738549B3"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bookmarkStart w:id="0" w:name="_GoBack"/>
      <w:bookmarkEnd w:id="0"/>
      <w:r w:rsidR="0081668F">
        <w:rPr>
          <w:rFonts w:cs="Arial"/>
        </w:rPr>
        <w:t>Library</w:t>
      </w:r>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0F1CAA"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0F1CAA"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0F1CAA"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3" w:name="_Toc444883175"/>
      <w:bookmarkEnd w:id="22"/>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3"/>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4"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7" w:name="_Toc444883181"/>
      <w:r w:rsidRPr="0054032E">
        <w:rPr>
          <w:rFonts w:cs="Arial"/>
        </w:rPr>
        <w:t>Android Manifest Changes</w:t>
      </w:r>
      <w:bookmarkEnd w:id="27"/>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8" w:name="_Toc444883182"/>
      <w:r>
        <w:rPr>
          <w:rFonts w:cs="Arial"/>
        </w:rPr>
        <w:t>Other User Permissions</w:t>
      </w:r>
      <w:bookmarkEnd w:id="28"/>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9" w:name="_Toc433199531"/>
      <w:bookmarkStart w:id="30" w:name="_Toc444883191"/>
      <w:bookmarkStart w:id="31" w:name="_Toc297311305"/>
      <w:bookmarkEnd w:id="26"/>
      <w:r>
        <w:rPr>
          <w:rStyle w:val="dac-header-crumbs-link"/>
        </w:rPr>
        <w:lastRenderedPageBreak/>
        <w:t>Supporting apps with Over 65K Methods</w:t>
      </w:r>
      <w:bookmarkEnd w:id="29"/>
      <w:bookmarkEnd w:id="30"/>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F1CAA"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6B6AC6F9"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7A602D1F" w14:textId="688BA240"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4FDC62C4" w14:textId="433BCA66"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APIS are below: </w:t>
      </w:r>
    </w:p>
    <w:p w14:paraId="67D09587" w14:textId="25876049" w:rsidR="00DE0922"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A32293" w14:textId="5AB9626B" w:rsidR="00DE0922" w:rsidRPr="00DE0922" w:rsidRDefault="00DE0922" w:rsidP="00DE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558593E1" w14:textId="77777777" w:rsidR="00DE0922" w:rsidRPr="00FA10D8" w:rsidRDefault="00DE0922"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1"/>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lastRenderedPageBreak/>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0F1CAA"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0F1CAA"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even" r:id="rId15"/>
      <w:headerReference w:type="default" r:id="rId16"/>
      <w:footerReference w:type="even" r:id="rId17"/>
      <w:footerReference w:type="default" r:id="rId18"/>
      <w:headerReference w:type="first" r:id="rId19"/>
      <w:footerReference w:type="first" r:id="rId2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612EA" w14:textId="77777777" w:rsidR="000F1CAA" w:rsidRDefault="000F1CAA" w:rsidP="003C4F40">
      <w:r>
        <w:separator/>
      </w:r>
    </w:p>
  </w:endnote>
  <w:endnote w:type="continuationSeparator" w:id="0">
    <w:p w14:paraId="15D69A94" w14:textId="77777777" w:rsidR="000F1CAA" w:rsidRDefault="000F1CA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A4E16" w14:textId="77777777" w:rsidR="00DE0922" w:rsidRDefault="00DE09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19B32" w14:textId="0C9E93A8"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1668F">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1668F">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C1E0" w14:textId="77777777" w:rsidR="00DE0922" w:rsidRDefault="00DE0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08B60" w14:textId="77777777" w:rsidR="000F1CAA" w:rsidRDefault="000F1CAA" w:rsidP="003C4F40">
      <w:r>
        <w:separator/>
      </w:r>
    </w:p>
  </w:footnote>
  <w:footnote w:type="continuationSeparator" w:id="0">
    <w:p w14:paraId="45AFA150" w14:textId="77777777" w:rsidR="000F1CAA" w:rsidRDefault="000F1CAA" w:rsidP="003C4F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0A8FE" w14:textId="77777777" w:rsidR="00DE0922" w:rsidRDefault="00DE09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32866" w14:textId="3E867C34" w:rsidR="002C0D5F" w:rsidRPr="003C4F40" w:rsidRDefault="002C0D5F" w:rsidP="003C4F40">
    <w:pPr>
      <w:pStyle w:val="Header"/>
      <w:tabs>
        <w:tab w:val="left" w:pos="5140"/>
      </w:tabs>
      <w:rPr>
        <w:rFonts w:cs="Arial"/>
        <w:sz w:val="20"/>
      </w:rPr>
    </w:pPr>
    <w:r>
      <w:rPr>
        <w:rFonts w:cs="Arial"/>
        <w:sz w:val="20"/>
      </w:rPr>
      <w:t xml:space="preserve">Mobile App Infrastructure </w:t>
    </w:r>
    <w:r w:rsidR="00DE0922">
      <w:rPr>
        <w:rFonts w:cs="Arial"/>
        <w:sz w:val="20"/>
      </w:rPr>
      <w:t>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E13F" w14:textId="77777777" w:rsidR="00DE0922" w:rsidRDefault="00DE09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9"/>
  </w:num>
  <w:num w:numId="9">
    <w:abstractNumId w:val="8"/>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1CAA"/>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F0A96"/>
    <w:rsid w:val="007F34F3"/>
    <w:rsid w:val="007F3E41"/>
    <w:rsid w:val="007F5D90"/>
    <w:rsid w:val="00800E0B"/>
    <w:rsid w:val="00801A67"/>
    <w:rsid w:val="00811D38"/>
    <w:rsid w:val="0081668F"/>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0922"/>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77D23"/>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2678554">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37836-C710-4526-843A-6B2010CA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14383</TotalTime>
  <Pages>18</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Kasthuri, Ashok</cp:lastModifiedBy>
  <cp:revision>576</cp:revision>
  <cp:lastPrinted>2016-04-07T14:40:00Z</cp:lastPrinted>
  <dcterms:created xsi:type="dcterms:W3CDTF">2015-06-14T17:21:00Z</dcterms:created>
  <dcterms:modified xsi:type="dcterms:W3CDTF">2016-11-24T06:21:00Z</dcterms:modified>
</cp:coreProperties>
</file>