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EE2BB8"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EE2BB8"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313581D1" w14:textId="77777777" w:rsidR="00274522" w:rsidRDefault="00274522" w:rsidP="00FE675B">
      <w:pPr>
        <w:rPr>
          <w:rFonts w:cs="Arial"/>
          <w:color w:val="333333"/>
          <w:szCs w:val="24"/>
        </w:rPr>
      </w:pPr>
    </w:p>
    <w:p w14:paraId="6CC2089D" w14:textId="77777777" w:rsidR="00274522" w:rsidRDefault="00274522"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"appinfra":{</w:t>
      </w:r>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"appidentity.micrositeId":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"appidentity.sector":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"appidentity.appState":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"appidentity.serviceDiscoveryEnvironment":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"restclient.cacheSizeInKB":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"tagging.sensitiveData": ["bundleId,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"abtest.precache":["philipsmobileappabtest1content","philipsmobileappabtest1success"],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"servicediscovery.platformEnvironment":"production",</w:t>
      </w:r>
    </w:p>
    <w:p w14:paraId="2DF0DEBF"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"appconfig.cloudServiceId":" appinfra.appconfigdownload"</w:t>
      </w:r>
    </w:p>
    <w:p w14:paraId="23720DDA" w14:textId="0C9E120B" w:rsidR="009B4771" w:rsidRPr="00E61CEA"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lastRenderedPageBreak/>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EE2BB8"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mAIAppTaggingInterface.trackPageWithInfo("AppTaggingDemoPage", keyValuePair);</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82B820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setPrivacyConsent(PrivacyStatus privacyStatus);</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setPreviousPage(String previousPage);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r w:rsidRPr="00DE0922">
        <w:rPr>
          <w:rFonts w:ascii="Courier New" w:hAnsi="Courier New" w:cs="Courier New"/>
          <w:color w:val="000000"/>
          <w:sz w:val="18"/>
          <w:szCs w:val="18"/>
        </w:rPr>
        <w:t>PrivacyStatus getPrivacyConsent();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 Map&lt;String, Object&gt;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pauseLifecycleInfo();</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trackVideoStart(String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trackVideoEnd(String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trackSocialSharing(SocialMedium medium, String sharedItem);</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trackLinkExternal(String url);</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trackFileDownload(String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trackTimedActionStart(String actionStart);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trackTimedActionEnd(String actionEnd);</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setPrivacyConsentForSensitiveData(</w:t>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valueContent);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getPrivacyConsentForSensitiveData();</w:t>
      </w:r>
    </w:p>
    <w:p w14:paraId="4B0249F5" w14:textId="77777777" w:rsidR="00B76754"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31DC0D87" w14:textId="2B62419B" w:rsidR="00B76754" w:rsidRPr="00DE0922"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String getAppsId()</w:t>
      </w:r>
      <w:bookmarkStart w:id="31" w:name="_GoBack"/>
      <w:bookmarkEnd w:id="31"/>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Please set using logging.properties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lastRenderedPageBreak/>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lastRenderedPageBreak/>
        <w:t>This API will give localeIdentifier as string of format xx_XX.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 xml:space="preserve">[currentLocale] localeIdentifier] </w:t>
      </w:r>
      <w:r w:rsidRPr="00D4650C">
        <w:rPr>
          <w:rFonts w:asciiTheme="minorHAnsi" w:hAnsiTheme="minorHAnsi" w:cs="Menlo"/>
          <w:color w:val="000000" w:themeColor="text1"/>
          <w:sz w:val="28"/>
          <w:szCs w:val="28"/>
        </w:rPr>
        <w:t xml:space="preserve">will give locale identifier in different format for some countries and language like HongKong- Simplified Chinese (ie </w:t>
      </w:r>
      <w:r w:rsidRPr="00D4650C">
        <w:rPr>
          <w:rFonts w:ascii="Menlo" w:hAnsi="Menlo" w:cs="Menlo"/>
          <w:color w:val="000000" w:themeColor="text1"/>
          <w:sz w:val="28"/>
          <w:szCs w:val="28"/>
        </w:rPr>
        <w:t>zh-Hans_HK</w:t>
      </w:r>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w:t>
      </w:r>
      <w:r w:rsidRPr="00055885">
        <w:rPr>
          <w:rStyle w:val="none0"/>
          <w:rFonts w:asciiTheme="majorHAnsi" w:hAnsiTheme="majorHAnsi" w:cstheme="majorHAnsi"/>
          <w:sz w:val="28"/>
          <w:szCs w:val="28"/>
          <w:lang w:val="de-DE"/>
        </w:rPr>
        <w:lastRenderedPageBreak/>
        <w:t xml:space="preserve">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sidR="00700B98">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25F8773E" w14:textId="77777777" w:rsidR="00700B98" w:rsidRDefault="00700B98" w:rsidP="00700B98">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lastRenderedPageBreak/>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Note: App configuration keys</w:t>
      </w:r>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lastRenderedPageBreak/>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1. Dynamic Config  (device)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Requested key is searched in Dynamic Config first ,if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It sets only modified/new value to dynamic config which is persisted to device, dynamic config DOES NOT contain unchanged value from static config(AppConfig.json).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lastRenderedPageBreak/>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lastRenderedPageBreak/>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void refreshCloudConfig(OnRefreshListener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 </w:t>
      </w:r>
      <w:r w:rsidRPr="0048611B">
        <w:rPr>
          <w:b/>
          <w:bCs/>
          <w:i/>
          <w:iCs/>
          <w:color w:val="A9B7C6"/>
          <w:sz w:val="27"/>
          <w:szCs w:val="27"/>
        </w:rPr>
        <w:t>REFRESHED_FROM_SERVER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EE2BB8"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lastRenderedPageBreak/>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lastRenderedPageBreak/>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EE2BB8"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lastRenderedPageBreak/>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55B50" w14:textId="77777777" w:rsidR="00EE2BB8" w:rsidRDefault="00EE2BB8" w:rsidP="003C4F40">
      <w:r>
        <w:separator/>
      </w:r>
    </w:p>
  </w:endnote>
  <w:endnote w:type="continuationSeparator" w:id="0">
    <w:p w14:paraId="64F2C1C0" w14:textId="77777777" w:rsidR="00EE2BB8" w:rsidRDefault="00EE2BB8"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C76D15" w:rsidRPr="003C4F40" w:rsidRDefault="00C76D15"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B76754">
      <w:rPr>
        <w:rFonts w:cs="Arial"/>
        <w:i/>
        <w:noProof/>
        <w:sz w:val="20"/>
      </w:rPr>
      <w:t>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B76754">
      <w:rPr>
        <w:rFonts w:cs="Arial"/>
        <w:i/>
        <w:noProof/>
        <w:sz w:val="20"/>
      </w:rPr>
      <w:t>28</w:t>
    </w:r>
    <w:r w:rsidRPr="003C4F40">
      <w:rPr>
        <w:rFonts w:cs="Arial"/>
        <w:i/>
        <w:sz w:val="20"/>
      </w:rPr>
      <w:fldChar w:fldCharType="end"/>
    </w:r>
  </w:p>
  <w:p w14:paraId="66BBB41D" w14:textId="77777777" w:rsidR="00C76D15" w:rsidRPr="003C4F40" w:rsidRDefault="00C76D15"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74A06" w14:textId="77777777" w:rsidR="00EE2BB8" w:rsidRDefault="00EE2BB8" w:rsidP="003C4F40">
      <w:r>
        <w:separator/>
      </w:r>
    </w:p>
  </w:footnote>
  <w:footnote w:type="continuationSeparator" w:id="0">
    <w:p w14:paraId="5537805E" w14:textId="77777777" w:rsidR="00EE2BB8" w:rsidRDefault="00EE2BB8"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C76D15" w:rsidRPr="003C4F40" w:rsidRDefault="00C76D15"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C76D15" w:rsidRPr="003C4F40" w:rsidRDefault="00C76D15" w:rsidP="003C4F40">
    <w:pPr>
      <w:pStyle w:val="Header"/>
      <w:rPr>
        <w:rFonts w:cs="Arial"/>
        <w:sz w:val="20"/>
      </w:rPr>
    </w:pPr>
    <w:r>
      <w:rPr>
        <w:rFonts w:cs="Arial"/>
        <w:sz w:val="20"/>
      </w:rPr>
      <w:tab/>
    </w:r>
    <w:r>
      <w:rPr>
        <w:rFonts w:cs="Arial"/>
        <w:sz w:val="20"/>
      </w:rPr>
      <w:tab/>
      <w:t>18-01-2017</w:t>
    </w:r>
  </w:p>
  <w:p w14:paraId="1DF7B72C" w14:textId="77777777" w:rsidR="00C76D15" w:rsidRPr="003C4F40" w:rsidRDefault="00C76D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6">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2"/>
  </w:num>
  <w:num w:numId="5">
    <w:abstractNumId w:val="10"/>
  </w:num>
  <w:num w:numId="6">
    <w:abstractNumId w:val="6"/>
  </w:num>
  <w:num w:numId="7">
    <w:abstractNumId w:val="11"/>
  </w:num>
  <w:num w:numId="8">
    <w:abstractNumId w:val="15"/>
  </w:num>
  <w:num w:numId="9">
    <w:abstractNumId w:val="14"/>
  </w:num>
  <w:num w:numId="10">
    <w:abstractNumId w:val="1"/>
  </w:num>
  <w:num w:numId="11">
    <w:abstractNumId w:val="13"/>
  </w:num>
  <w:num w:numId="12">
    <w:abstractNumId w:val="0"/>
  </w:num>
  <w:num w:numId="13">
    <w:abstractNumId w:val="4"/>
  </w:num>
  <w:num w:numId="14">
    <w:abstractNumId w:val="9"/>
  </w:num>
  <w:num w:numId="15">
    <w:abstractNumId w:val="16"/>
  </w:num>
  <w:num w:numId="16">
    <w:abstractNumId w:val="7"/>
  </w:num>
  <w:num w:numId="17">
    <w:abstractNumId w:val="17"/>
  </w:num>
  <w:num w:numId="18">
    <w:abstractNumId w:val="5"/>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7D08"/>
    <w:rsid w:val="005E46D5"/>
    <w:rsid w:val="005E4702"/>
    <w:rsid w:val="005E551B"/>
    <w:rsid w:val="005F4901"/>
    <w:rsid w:val="005F61CA"/>
    <w:rsid w:val="0060207A"/>
    <w:rsid w:val="00610766"/>
    <w:rsid w:val="00611F48"/>
    <w:rsid w:val="0061475C"/>
    <w:rsid w:val="00615536"/>
    <w:rsid w:val="00617528"/>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7AE"/>
    <w:rsid w:val="00B42B2D"/>
    <w:rsid w:val="00B43779"/>
    <w:rsid w:val="00B47A15"/>
    <w:rsid w:val="00B64580"/>
    <w:rsid w:val="00B76754"/>
    <w:rsid w:val="00B85D7D"/>
    <w:rsid w:val="00B85DBC"/>
    <w:rsid w:val="00B918A7"/>
    <w:rsid w:val="00B94486"/>
    <w:rsid w:val="00B97143"/>
    <w:rsid w:val="00B97701"/>
    <w:rsid w:val="00BA5A11"/>
    <w:rsid w:val="00BA6710"/>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30535"/>
    <w:rsid w:val="00D42C5B"/>
    <w:rsid w:val="00D45F45"/>
    <w:rsid w:val="00D4650C"/>
    <w:rsid w:val="00D46E77"/>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F93AA-321E-9946-B1EE-14450C83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14680</TotalTime>
  <Pages>28</Pages>
  <Words>6441</Words>
  <Characters>36717</Characters>
  <Application>Microsoft Macintosh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645</cp:revision>
  <cp:lastPrinted>2016-04-07T14:40:00Z</cp:lastPrinted>
  <dcterms:created xsi:type="dcterms:W3CDTF">2015-06-14T17:21:00Z</dcterms:created>
  <dcterms:modified xsi:type="dcterms:W3CDTF">2017-02-28T08:36:00Z</dcterms:modified>
</cp:coreProperties>
</file>