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BFA8" w14:textId="77777777" w:rsidR="00B53433" w:rsidRDefault="00000000">
      <w:pPr>
        <w:pStyle w:val="Title"/>
      </w:pPr>
      <w:r>
        <w:t>Project Briefing</w:t>
      </w:r>
    </w:p>
    <w:p w14:paraId="6E682F6C" w14:textId="77777777" w:rsidR="00B53433" w:rsidRDefault="00000000">
      <w:pPr>
        <w:spacing w:after="360"/>
        <w:jc w:val="center"/>
      </w:pPr>
      <w:r>
        <w:rPr>
          <w:i/>
          <w:iCs/>
          <w:sz w:val="28"/>
          <w:szCs w:val="28"/>
        </w:rPr>
        <w:t>Spectral Detection of Trigger-Free Data Poisoning in Diffusion Models</w:t>
      </w:r>
    </w:p>
    <w:p w14:paraId="2DF0468F" w14:textId="77777777" w:rsidR="00B53433" w:rsidRDefault="00000000">
      <w:pPr>
        <w:pStyle w:val="Heading1"/>
      </w:pPr>
      <w:r>
        <w:t>1. Problem Statement</w:t>
      </w:r>
    </w:p>
    <w:p w14:paraId="75CFB8C8" w14:textId="77777777" w:rsidR="00B53433" w:rsidRDefault="00000000">
      <w:pPr>
        <w:pStyle w:val="Heading2"/>
      </w:pPr>
      <w:r>
        <w:t>The threat</w:t>
      </w:r>
    </w:p>
    <w:p w14:paraId="3CF0D2E2" w14:textId="77777777" w:rsidR="00B53433" w:rsidRDefault="00000000">
      <w:pPr>
        <w:spacing w:after="120"/>
      </w:pPr>
      <w:r>
        <w:t>Text-to-image diffusion models (Stable Diffusion, SDXL, FLUX) are increasingly fine-tuned by users on publicly shared datasets. An attacker can release a poisoned dataset online that, when used for fine-tuning, causes the resulting model to reproduce an attacker-specified artifact (e.g., a brand logo) in every generated output, without any trigger at inference time.</w:t>
      </w:r>
    </w:p>
    <w:p w14:paraId="7DD6F619" w14:textId="77777777" w:rsidR="00B53433" w:rsidRDefault="00000000">
      <w:pPr>
        <w:spacing w:after="120"/>
      </w:pPr>
      <w:r>
        <w:t>The canonical instance is the Silent Branding Attack (Jang et al., CVPR 2025), which embeds logos into training images so naturally that human inspection cannot detect the poisoning, and the resulting model has unchanged FID and CLIP scores.</w:t>
      </w:r>
    </w:p>
    <w:p w14:paraId="3AAC20A8" w14:textId="77777777" w:rsidR="00B53433" w:rsidRDefault="00000000">
      <w:pPr>
        <w:pStyle w:val="Heading2"/>
      </w:pPr>
      <w:r>
        <w:t>The gap</w:t>
      </w:r>
    </w:p>
    <w:p w14:paraId="786DA55E" w14:textId="77777777" w:rsidR="00B53433" w:rsidRDefault="00000000">
      <w:pPr>
        <w:spacing w:after="120"/>
      </w:pPr>
      <w:r>
        <w:t>All 14+ published defenses for diffusion model backdoors (Elijah, TERD, T2IShield, UFID, NaviT2I, Diff-Cleanse, PureDiffusion, PEPPER, STEDiff, etc.) assume the existence of an inference-time trigger that can be inverted, detected, or perturbed. Because trigger-free attacks have no trigger, every existing defense structurally fails.</w:t>
      </w:r>
    </w:p>
    <w:p w14:paraId="216E0D46" w14:textId="77777777" w:rsidR="00B53433" w:rsidRDefault="00000000">
      <w:pPr>
        <w:spacing w:after="120"/>
      </w:pPr>
      <w:r>
        <w:t>As of April 2026, no published detection method exists for trigger-free data poisoning in diffusion models. Confirmed via deep literature searches by GPT, Gemini, and Claude.</w:t>
      </w:r>
    </w:p>
    <w:p w14:paraId="15FFEF27" w14:textId="77777777" w:rsidR="00B53433" w:rsidRDefault="00000000">
      <w:pPr>
        <w:pStyle w:val="Heading2"/>
      </w:pPr>
      <w:r>
        <w:t>Our goal</w:t>
      </w:r>
    </w:p>
    <w:p w14:paraId="168671E7" w14:textId="77777777" w:rsidR="00B53433" w:rsidRDefault="00000000">
      <w:pPr>
        <w:spacing w:after="120"/>
      </w:pPr>
      <w:r>
        <w:t>Develop the first principled, theoretically-grounded, reference-free detector for trigger-free data poisoning in text-to-image diffusion models.</w:t>
      </w:r>
    </w:p>
    <w:p w14:paraId="3ECC7060" w14:textId="77777777" w:rsidR="00B53433" w:rsidRDefault="00000000">
      <w:pPr>
        <w:pStyle w:val="Heading1"/>
      </w:pPr>
      <w:r>
        <w:t>2. Our Methodology</w:t>
      </w:r>
    </w:p>
    <w:p w14:paraId="43FFFB53" w14:textId="77777777" w:rsidR="00B53433" w:rsidRDefault="00000000">
      <w:pPr>
        <w:pStyle w:val="Heading2"/>
      </w:pPr>
      <w:r>
        <w:t>One-sentence description</w:t>
      </w:r>
    </w:p>
    <w:p w14:paraId="4E5980EF" w14:textId="77777777" w:rsidR="00B53433" w:rsidRDefault="00000000">
      <w:pPr>
        <w:spacing w:after="120"/>
      </w:pPr>
      <w:r>
        <w:t>Generate many images from the suspect model, extract noise residuals, compute their covariance matrix, take the SVD, and test whether the largest singular value exceeds a Tracy-Widom distribution threshold derived from random matrix theory.</w:t>
      </w:r>
    </w:p>
    <w:p w14:paraId="5AB42C3C" w14:textId="77777777" w:rsidR="00B53433" w:rsidRDefault="00000000">
      <w:pPr>
        <w:pStyle w:val="Heading2"/>
      </w:pPr>
      <w:r>
        <w:t>Why this works</w:t>
      </w:r>
    </w:p>
    <w:p w14:paraId="4D11EAB7" w14:textId="77777777" w:rsidR="00B53433" w:rsidRDefault="00000000">
      <w:pPr>
        <w:spacing w:after="120"/>
      </w:pPr>
      <w:r>
        <w:t>A poisoned model embeds the same artifact across every output. When we extract noise residuals from many generated images, the consistent artifact manifests as a rank-1 spike in the covariance spectrum, rising above the bulk eigenvalues contributed by scene content. Random matrix theory gives exact thresholds for what constitutes an anomalous spike under the null hypothesis of no hidden signal.</w:t>
      </w:r>
    </w:p>
    <w:p w14:paraId="43663E0E" w14:textId="77777777" w:rsidR="00B53433" w:rsidRDefault="00000000">
      <w:pPr>
        <w:pStyle w:val="Heading2"/>
      </w:pPr>
      <w:r>
        <w:t>Properties</w:t>
      </w:r>
    </w:p>
    <w:p w14:paraId="4467752E" w14:textId="77777777" w:rsidR="00B53433" w:rsidRDefault="00000000">
      <w:pPr>
        <w:pStyle w:val="ListParagraph"/>
        <w:numPr>
          <w:ilvl w:val="0"/>
          <w:numId w:val="2"/>
        </w:numPr>
        <w:spacing w:after="80"/>
      </w:pPr>
      <w:r>
        <w:lastRenderedPageBreak/>
        <w:t>Reference-free: no clean model needed for comparison</w:t>
      </w:r>
    </w:p>
    <w:p w14:paraId="5007343C" w14:textId="77777777" w:rsidR="00B53433" w:rsidRDefault="00000000">
      <w:pPr>
        <w:pStyle w:val="ListParagraph"/>
        <w:numPr>
          <w:ilvl w:val="0"/>
          <w:numId w:val="2"/>
        </w:numPr>
        <w:spacing w:after="80"/>
      </w:pPr>
      <w:r>
        <w:t>Theoretically grounded: false-positive rate calibrated via Tracy-Widom distribution</w:t>
      </w:r>
    </w:p>
    <w:p w14:paraId="3F6BC96C" w14:textId="77777777" w:rsidR="00B53433" w:rsidRDefault="00000000">
      <w:pPr>
        <w:pStyle w:val="ListParagraph"/>
        <w:numPr>
          <w:ilvl w:val="0"/>
          <w:numId w:val="2"/>
        </w:numPr>
        <w:spacing w:after="80"/>
      </w:pPr>
      <w:r>
        <w:t>Computationally cheap: one SVD on a covariance matrix</w:t>
      </w:r>
    </w:p>
    <w:p w14:paraId="251B1618" w14:textId="77777777" w:rsidR="00B53433" w:rsidRDefault="00000000">
      <w:pPr>
        <w:pStyle w:val="ListParagraph"/>
        <w:numPr>
          <w:ilvl w:val="0"/>
          <w:numId w:val="2"/>
        </w:numPr>
        <w:spacing w:after="80"/>
      </w:pPr>
      <w:r>
        <w:t>Single statistic: no pipeline, no chained components</w:t>
      </w:r>
    </w:p>
    <w:p w14:paraId="1B2B52BD" w14:textId="77777777" w:rsidR="00B53433" w:rsidRDefault="00000000">
      <w:pPr>
        <w:pStyle w:val="Heading1"/>
      </w:pPr>
      <w:r>
        <w:t>3. Where the Idea Comes From</w:t>
      </w:r>
    </w:p>
    <w:p w14:paraId="6811E317" w14:textId="77777777" w:rsidR="00B53433" w:rsidRDefault="00000000">
      <w:pPr>
        <w:spacing w:after="120"/>
      </w:pPr>
      <w:r>
        <w:t>The method borrows insights from three distinct domains. Each contributes a specific piece; our contribution is the synthesis and adaptation to trigger-free diffusion poisoning.</w:t>
      </w:r>
    </w:p>
    <w:p w14:paraId="1141DFAC" w14:textId="77777777" w:rsidR="00B53433" w:rsidRDefault="00000000">
      <w:pPr>
        <w:pStyle w:val="Heading2"/>
      </w:pPr>
      <w:r>
        <w:t>Domain 1: Random Matrix Theory (RMT), the core mathematical tool</w:t>
      </w:r>
    </w:p>
    <w:p w14:paraId="272E75B2" w14:textId="77777777" w:rsidR="00B53433" w:rsidRDefault="00000000">
      <w:pPr>
        <w:spacing w:after="120"/>
      </w:pPr>
      <w:r>
        <w:rPr>
          <w:b/>
          <w:bCs/>
        </w:rPr>
        <w:t xml:space="preserve">Subdomain: </w:t>
      </w:r>
      <w:r>
        <w:t>Spiked covariance models and Tracy-Widom distribution</w:t>
      </w:r>
    </w:p>
    <w:p w14:paraId="3C65E796" w14:textId="77777777" w:rsidR="00B53433" w:rsidRDefault="00000000">
      <w:pPr>
        <w:spacing w:after="120"/>
      </w:pPr>
      <w:r>
        <w:rPr>
          <w:b/>
          <w:bCs/>
        </w:rPr>
        <w:t xml:space="preserve">Key paper: </w:t>
      </w:r>
      <w:r>
        <w:t>Flynn &amp; Granziol, "Random Matrix Theory of Data Poisoning" (Oxford, arXiv 2505.15175, 2025)</w:t>
      </w:r>
    </w:p>
    <w:p w14:paraId="2C7228A1" w14:textId="77777777" w:rsidR="00B53433" w:rsidRDefault="00000000">
      <w:pPr>
        <w:spacing w:after="120"/>
      </w:pPr>
      <w:r>
        <w:rPr>
          <w:b/>
          <w:bCs/>
        </w:rPr>
        <w:t xml:space="preserve">What they did: </w:t>
      </w:r>
      <w:r>
        <w:t>Developed the first RMT framework for quantifying adversarial vulnerabilities under data poisoning, specifically for linear/kernel regression. Used resolvent techniques and Marchenko-Pastur distribution to derive closed-form detection thresholds.</w:t>
      </w:r>
    </w:p>
    <w:p w14:paraId="328D78BD" w14:textId="77777777" w:rsidR="00B53433" w:rsidRDefault="00000000">
      <w:pPr>
        <w:spacing w:after="120"/>
      </w:pPr>
      <w:r>
        <w:rPr>
          <w:b/>
          <w:bCs/>
        </w:rPr>
        <w:t xml:space="preserve">Their problem: </w:t>
      </w:r>
      <w:r>
        <w:t>Detecting poisoning in classification models via spectral signatures, with theoretical guarantees on false-positive rates.</w:t>
      </w:r>
    </w:p>
    <w:p w14:paraId="785DB2BD" w14:textId="77777777" w:rsidR="00B53433" w:rsidRDefault="00000000">
      <w:pPr>
        <w:spacing w:after="120"/>
      </w:pPr>
      <w:r>
        <w:rPr>
          <w:b/>
          <w:bCs/>
        </w:rPr>
        <w:t xml:space="preserve">How we modify it: </w:t>
      </w:r>
      <w:r>
        <w:t>They work with linear/kernel regression. We extend the framework to diffusion model outputs, specifically the covariance of noise residuals from generated images. The mathematical machinery (Tracy-Widom limits, spiked covariance analysis) transfers, but the signal domain is entirely different.</w:t>
      </w:r>
    </w:p>
    <w:p w14:paraId="3D9EF2D3" w14:textId="77777777" w:rsidR="00B53433" w:rsidRDefault="00000000">
      <w:pPr>
        <w:pStyle w:val="Heading2"/>
      </w:pPr>
      <w:r>
        <w:t>Domain 2: Cryptographic Side-Channel Analysis, the population-level detection philosophy</w:t>
      </w:r>
    </w:p>
    <w:p w14:paraId="15D64D5D" w14:textId="77777777" w:rsidR="00B53433" w:rsidRDefault="00000000">
      <w:pPr>
        <w:spacing w:after="120"/>
      </w:pPr>
      <w:r>
        <w:rPr>
          <w:b/>
          <w:bCs/>
        </w:rPr>
        <w:t xml:space="preserve">Subdomain: </w:t>
      </w:r>
      <w:r>
        <w:t>Differential Power Analysis (DPA) and Test Vector Leakage Assessment (TVLA)</w:t>
      </w:r>
    </w:p>
    <w:p w14:paraId="5962B1EA" w14:textId="77777777" w:rsidR="00B53433" w:rsidRDefault="00000000">
      <w:pPr>
        <w:spacing w:after="120"/>
      </w:pPr>
      <w:r>
        <w:rPr>
          <w:b/>
          <w:bCs/>
        </w:rPr>
        <w:t xml:space="preserve">Key papers: </w:t>
      </w:r>
      <w:r>
        <w:t>Kocher, Jaffe, Jun, "Differential Power Analysis" (CRYPTO 1999); Goodwill, Jun, Jaffe, Rohatgi, "A Testing Methodology for Side-Channel Resistance Validation" (NIST 2011, standardized as ISO/IEC 17825:2016)</w:t>
      </w:r>
    </w:p>
    <w:p w14:paraId="3A5042A3" w14:textId="77777777" w:rsidR="00B53433" w:rsidRDefault="00000000">
      <w:pPr>
        <w:spacing w:after="120"/>
      </w:pPr>
      <w:r>
        <w:rPr>
          <w:b/>
          <w:bCs/>
        </w:rPr>
        <w:t xml:space="preserve">What they did: </w:t>
      </w:r>
      <w:r>
        <w:t>Developed statistical methods to detect secret-key-dependent signals leaking through a cryptographic device's power consumption. Each individual power trace is dominated by noise, but aggregating thousands of traces reveals the signal. TVLA specifically uses Welch's t-test to detect "does leakage exist?" without needing to know the signal's form.</w:t>
      </w:r>
    </w:p>
    <w:p w14:paraId="34193EE2" w14:textId="77777777" w:rsidR="00B53433" w:rsidRDefault="00000000">
      <w:pPr>
        <w:spacing w:after="120"/>
      </w:pPr>
      <w:r>
        <w:rPr>
          <w:b/>
          <w:bCs/>
        </w:rPr>
        <w:t xml:space="preserve">Their problem: </w:t>
      </w:r>
      <w:r>
        <w:t>Cryptographic hardware validation, determining if a device leaks information even when the leakage is far below the noise floor per observation.</w:t>
      </w:r>
    </w:p>
    <w:p w14:paraId="478E2B82" w14:textId="77777777" w:rsidR="00B53433" w:rsidRDefault="00000000">
      <w:pPr>
        <w:spacing w:after="120"/>
      </w:pPr>
      <w:r>
        <w:rPr>
          <w:b/>
          <w:bCs/>
        </w:rPr>
        <w:t xml:space="preserve">How we modify it: </w:t>
      </w:r>
      <w:r>
        <w:t>Side-channel analysis aggregates scalar measurements over time; we aggregate 2D image residuals over a population. Side-channel uses Welch's t-test with a heuristic |t| &gt; 4.5 threshold; we use spectral analysis with principled Tracy-Widom thresholds. The fundamental philosophy, weak consistent signal recoverable through population aggregation, is identical.</w:t>
      </w:r>
    </w:p>
    <w:p w14:paraId="3427F80A" w14:textId="77777777" w:rsidR="00B53433" w:rsidRDefault="00000000">
      <w:pPr>
        <w:pStyle w:val="Heading2"/>
      </w:pPr>
      <w:r>
        <w:t>Domain 3: Media Forensics / PRNU, the residual extraction pipeline</w:t>
      </w:r>
    </w:p>
    <w:p w14:paraId="7C635AFD" w14:textId="77777777" w:rsidR="00B53433" w:rsidRDefault="00000000">
      <w:pPr>
        <w:spacing w:after="120"/>
      </w:pPr>
      <w:r>
        <w:rPr>
          <w:b/>
          <w:bCs/>
        </w:rPr>
        <w:lastRenderedPageBreak/>
        <w:t xml:space="preserve">Subdomain: </w:t>
      </w:r>
      <w:r>
        <w:t>Photo Response Non-Uniformity (PRNU) sensor fingerprinting</w:t>
      </w:r>
    </w:p>
    <w:p w14:paraId="0AA6A76E" w14:textId="77777777" w:rsidR="00B53433" w:rsidRDefault="00000000">
      <w:pPr>
        <w:spacing w:after="120"/>
      </w:pPr>
      <w:r>
        <w:rPr>
          <w:b/>
          <w:bCs/>
        </w:rPr>
        <w:t xml:space="preserve">Key papers: </w:t>
      </w:r>
      <w:r>
        <w:t>Lukáš, Fridrich, Goljan, "Digital Camera Identification from Sensor Pattern Noise" (IEEE TIFS 2006); Chen, Fridrich, Goljan, Lukáš, "Determining Image Origin and Integrity Using Sensor Noise" (IEEE TIFS 2008)</w:t>
      </w:r>
    </w:p>
    <w:p w14:paraId="3671E2AE" w14:textId="77777777" w:rsidR="00B53433" w:rsidRDefault="00000000">
      <w:pPr>
        <w:spacing w:after="120"/>
      </w:pPr>
      <w:r>
        <w:rPr>
          <w:b/>
          <w:bCs/>
        </w:rPr>
        <w:t xml:space="preserve">What they did: </w:t>
      </w:r>
      <w:r>
        <w:t>Developed methods to extract weak sensor-specific noise patterns from photographs. Each camera has a unique, consistent, weak noise pattern (PRNU) that is invisible in any single image but recoverable by averaging denoising residuals across many images.</w:t>
      </w:r>
    </w:p>
    <w:p w14:paraId="4A11FE22" w14:textId="77777777" w:rsidR="00B53433" w:rsidRDefault="00000000">
      <w:pPr>
        <w:spacing w:after="120"/>
      </w:pPr>
      <w:r>
        <w:rPr>
          <w:b/>
          <w:bCs/>
        </w:rPr>
        <w:t xml:space="preserve">Their problem: </w:t>
      </w:r>
      <w:r>
        <w:t>Forensic attribution, determining which camera took a given photograph, or whether an image has been tampered with.</w:t>
      </w:r>
    </w:p>
    <w:p w14:paraId="2F4F3EC9" w14:textId="77777777" w:rsidR="00B53433" w:rsidRDefault="00000000">
      <w:pPr>
        <w:spacing w:after="120"/>
      </w:pPr>
      <w:r>
        <w:rPr>
          <w:b/>
          <w:bCs/>
        </w:rPr>
        <w:t xml:space="preserve">How we modify it: </w:t>
      </w:r>
      <w:r>
        <w:t>PRNU averages residuals to recover a fingerprint pattern, then uses cross-correlation for detection. We use the same residual extraction preprocessing (wavelet-based Wiener filter or BM3D denoising) but replace correlation-based detection with spectral concentration analysis, which is more sensitive to low-rank consistent signals than template correlation.</w:t>
      </w:r>
    </w:p>
    <w:p w14:paraId="0E287618" w14:textId="77777777" w:rsidR="00B53433" w:rsidRDefault="00000000">
      <w:pPr>
        <w:pStyle w:val="Heading2"/>
      </w:pPr>
      <w:r>
        <w:t>Supporting theoretical connection: SEMAD</w:t>
      </w:r>
    </w:p>
    <w:p w14:paraId="41473EBA" w14:textId="77777777" w:rsidR="00B53433" w:rsidRDefault="00000000">
      <w:pPr>
        <w:spacing w:after="120"/>
      </w:pPr>
      <w:r>
        <w:rPr>
          <w:b/>
          <w:bCs/>
        </w:rPr>
        <w:t xml:space="preserve">Paper: </w:t>
      </w:r>
      <w:r>
        <w:t>Chen &amp; Zhu, "When Backdoors Go Beyond Triggers: Semantic Drift in Diffusion Models Under Encoder Attacks" (arXiv 2602.20193, Feb 2026)</w:t>
      </w:r>
    </w:p>
    <w:p w14:paraId="653E2E66" w14:textId="77777777" w:rsidR="00B53433" w:rsidRDefault="00000000">
      <w:pPr>
        <w:spacing w:after="120"/>
      </w:pPr>
      <w:r>
        <w:rPr>
          <w:b/>
          <w:bCs/>
        </w:rPr>
        <w:t xml:space="preserve">What they proved: </w:t>
      </w:r>
      <w:r>
        <w:t>Through Jacobian-based analysis, backdoor poisoning induces "low-rank, target-centered deformations" in the diffusion model's representation manifold. Distortion propagates coherently along specific low-rank directions.</w:t>
      </w:r>
    </w:p>
    <w:p w14:paraId="1D86EE2D" w14:textId="77777777" w:rsidR="00B53433" w:rsidRDefault="00000000">
      <w:pPr>
        <w:spacing w:after="120"/>
      </w:pPr>
      <w:r>
        <w:rPr>
          <w:b/>
          <w:bCs/>
        </w:rPr>
        <w:t xml:space="preserve">Why this matters for us: </w:t>
      </w:r>
      <w:r>
        <w:t>They provide the geometric justification for why our spectral approach should work. Their theorem says the signal IS low-rank; RMT gives us the optimal detection framework for exactly that kind of signal. SEMAD is a diagnostic framework, not a detector; we operationalize their geometric insight into an automated detection system.</w:t>
      </w:r>
    </w:p>
    <w:p w14:paraId="5C6BF622" w14:textId="77777777" w:rsidR="00B53433" w:rsidRDefault="00000000">
      <w:pPr>
        <w:pStyle w:val="Heading1"/>
      </w:pPr>
      <w:r>
        <w:t>4. Baselines We Must Implement</w:t>
      </w:r>
    </w:p>
    <w:p w14:paraId="34CE62A0" w14:textId="77777777" w:rsidR="00B53433" w:rsidRDefault="00000000">
      <w:pPr>
        <w:pStyle w:val="Heading2"/>
      </w:pPr>
      <w:r>
        <w:t>Tier 1: Trigger-based defenses (expected to fail, showing failure is itself a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415"/>
        <w:gridCol w:w="1186"/>
        <w:gridCol w:w="3533"/>
        <w:gridCol w:w="1955"/>
      </w:tblGrid>
      <w:tr w:rsidR="00B53433" w14:paraId="73D2A33A" w14:textId="77777777">
        <w:tc>
          <w:tcPr>
            <w:tcW w:w="1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tcPr>
          <w:p w14:paraId="6CAA59A8" w14:textId="77777777" w:rsidR="00B53433" w:rsidRDefault="00000000">
            <w:r>
              <w:rPr>
                <w:b/>
                <w:bCs/>
              </w:rPr>
              <w:t>Method</w:t>
            </w:r>
          </w:p>
        </w:tc>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tcPr>
          <w:p w14:paraId="5E3E7173" w14:textId="77777777" w:rsidR="00B53433" w:rsidRDefault="00000000">
            <w:r>
              <w:rPr>
                <w:b/>
                <w:bCs/>
              </w:rPr>
              <w:t>Paper</w:t>
            </w:r>
          </w:p>
        </w:tc>
        <w:tc>
          <w:tcPr>
            <w:tcW w:w="1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tcPr>
          <w:p w14:paraId="1C932684" w14:textId="77777777" w:rsidR="00B53433" w:rsidRDefault="00000000">
            <w:r>
              <w:rPr>
                <w:b/>
                <w:bCs/>
              </w:rPr>
              <w:t>Venue</w:t>
            </w:r>
          </w:p>
        </w:tc>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tcPr>
          <w:p w14:paraId="54395258" w14:textId="77777777" w:rsidR="00B53433" w:rsidRDefault="00000000">
            <w:r>
              <w:rPr>
                <w:b/>
                <w:bCs/>
              </w:rPr>
              <w:t>Code</w:t>
            </w:r>
          </w:p>
        </w:tc>
        <w:tc>
          <w:tcPr>
            <w:tcW w:w="236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tcPr>
          <w:p w14:paraId="3618E33E" w14:textId="77777777" w:rsidR="00B53433" w:rsidRDefault="00000000">
            <w:r>
              <w:rPr>
                <w:b/>
                <w:bCs/>
              </w:rPr>
              <w:t>Why include</w:t>
            </w:r>
          </w:p>
        </w:tc>
      </w:tr>
      <w:tr w:rsidR="00B53433" w14:paraId="7260BC1D" w14:textId="77777777">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72CCE2E0" w14:textId="77777777" w:rsidR="00B53433" w:rsidRDefault="00000000">
            <w:r>
              <w:t>Elijah</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3928A07D" w14:textId="77777777" w:rsidR="00B53433" w:rsidRDefault="00000000">
            <w:r>
              <w:t>An et al. 2024</w:t>
            </w:r>
          </w:p>
        </w:tc>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66A1B1A7" w14:textId="77777777" w:rsidR="00B53433" w:rsidRDefault="00000000">
            <w:r>
              <w:t>AAAI 2024</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64293021" w14:textId="77777777" w:rsidR="00B53433" w:rsidRDefault="00000000">
            <w:r>
              <w:t>github.com/njuaplusplus/Elijah</w:t>
            </w:r>
          </w:p>
        </w:tc>
        <w:tc>
          <w:tcPr>
            <w:tcW w:w="2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B284160" w14:textId="77777777" w:rsidR="00B53433" w:rsidRDefault="00000000">
            <w:r>
              <w:t>Most cited; trigger inversion</w:t>
            </w:r>
          </w:p>
        </w:tc>
      </w:tr>
      <w:tr w:rsidR="00B53433" w14:paraId="179591AA" w14:textId="77777777">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041DA63D" w14:textId="77777777" w:rsidR="00B53433" w:rsidRDefault="00000000">
            <w:r>
              <w:t>TERD</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007F35D3" w14:textId="77777777" w:rsidR="00B53433" w:rsidRDefault="00000000">
            <w:r>
              <w:t>Mo et al. 2024</w:t>
            </w:r>
          </w:p>
        </w:tc>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2B4093F4" w14:textId="77777777" w:rsidR="00B53433" w:rsidRDefault="00000000">
            <w:r>
              <w:t>ICML 2024</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6778C93D" w14:textId="77777777" w:rsidR="00B53433" w:rsidRDefault="00000000">
            <w:r>
              <w:t>github.com/PKU-ML/TERD</w:t>
            </w:r>
          </w:p>
        </w:tc>
        <w:tc>
          <w:tcPr>
            <w:tcW w:w="2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FCD0716" w14:textId="77777777" w:rsidR="00B53433" w:rsidRDefault="00000000">
            <w:r>
              <w:t>100% TPR on trigger-based; unified</w:t>
            </w:r>
          </w:p>
        </w:tc>
      </w:tr>
      <w:tr w:rsidR="00B53433" w14:paraId="320F1CCB" w14:textId="77777777">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6001E2D9" w14:textId="77777777" w:rsidR="00B53433" w:rsidRDefault="00000000">
            <w:r>
              <w:t>T2IShield</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43689299" w14:textId="77777777" w:rsidR="00B53433" w:rsidRDefault="00000000">
            <w:r>
              <w:t>Wang et al. 2024</w:t>
            </w:r>
          </w:p>
        </w:tc>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DCCC369" w14:textId="77777777" w:rsidR="00B53433" w:rsidRDefault="00000000">
            <w:r>
              <w:t>ECCV 2024</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53716617" w14:textId="77777777" w:rsidR="00B53433" w:rsidRDefault="00000000">
            <w:r>
              <w:t>github.com/Robin-WZQ/T2IShield</w:t>
            </w:r>
          </w:p>
        </w:tc>
        <w:tc>
          <w:tcPr>
            <w:tcW w:w="2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40665D1E" w14:textId="77777777" w:rsidR="00B53433" w:rsidRDefault="00000000">
            <w:r>
              <w:t>T2I-specific; attention-based</w:t>
            </w:r>
          </w:p>
        </w:tc>
      </w:tr>
      <w:tr w:rsidR="00B53433" w14:paraId="42913961" w14:textId="77777777">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08D069DF" w14:textId="77777777" w:rsidR="00B53433" w:rsidRDefault="00000000">
            <w:r>
              <w:t>UFID</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3E7A467C" w14:textId="77777777" w:rsidR="00B53433" w:rsidRDefault="00000000">
            <w:r>
              <w:t>Guan et al. 2025</w:t>
            </w:r>
          </w:p>
        </w:tc>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73EEDEE8" w14:textId="77777777" w:rsidR="00B53433" w:rsidRDefault="00000000">
            <w:r>
              <w:t>AAAI 2025</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2DEA5EA5" w14:textId="77777777" w:rsidR="00B53433" w:rsidRDefault="00000000">
            <w:r>
              <w:t>github.com/GuanZihan/official_UFID</w:t>
            </w:r>
          </w:p>
        </w:tc>
        <w:tc>
          <w:tcPr>
            <w:tcW w:w="2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33DBD3B" w14:textId="77777777" w:rsidR="00B53433" w:rsidRDefault="00000000">
            <w:r>
              <w:t>Black-box; output consistency</w:t>
            </w:r>
          </w:p>
        </w:tc>
      </w:tr>
      <w:tr w:rsidR="00B53433" w14:paraId="63263546" w14:textId="77777777">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585319E0" w14:textId="77777777" w:rsidR="00B53433" w:rsidRDefault="00000000">
            <w:r>
              <w:lastRenderedPageBreak/>
              <w:t>NaviT2I</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071485D6" w14:textId="77777777" w:rsidR="00B53433" w:rsidRDefault="00000000">
            <w:r>
              <w:t>Zhai et al. 2025</w:t>
            </w:r>
          </w:p>
        </w:tc>
        <w:tc>
          <w:tcPr>
            <w:tcW w:w="1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395F25F4" w14:textId="77777777" w:rsidR="00B53433" w:rsidRDefault="00000000">
            <w:r>
              <w:t>ICCV 2025</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23FD8DC" w14:textId="77777777" w:rsidR="00B53433" w:rsidRDefault="00000000">
            <w:r>
              <w:t>github.com/zhaisf/NaviT2I</w:t>
            </w:r>
          </w:p>
        </w:tc>
        <w:tc>
          <w:tcPr>
            <w:tcW w:w="2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366F33E2" w14:textId="77777777" w:rsidR="00B53433" w:rsidRDefault="00000000">
            <w:r>
              <w:t>Newest; activation variation</w:t>
            </w:r>
          </w:p>
        </w:tc>
      </w:tr>
    </w:tbl>
    <w:p w14:paraId="4BD6A5E8" w14:textId="77777777" w:rsidR="00B53433" w:rsidRDefault="00B53433">
      <w:pPr>
        <w:spacing w:after="120"/>
      </w:pPr>
    </w:p>
    <w:p w14:paraId="04A78934" w14:textId="77777777" w:rsidR="00B53433" w:rsidRDefault="00000000">
      <w:pPr>
        <w:pStyle w:val="Heading2"/>
      </w:pPr>
      <w:r>
        <w:t>Tier 2: Adapted from adjacent ML security (proper statistical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53433" w14:paraId="277329DC" w14:textId="77777777">
        <w:tc>
          <w:tcPr>
            <w:tcW w:w="2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tcPr>
          <w:p w14:paraId="2A475427" w14:textId="77777777" w:rsidR="00B53433" w:rsidRDefault="00000000">
            <w:r>
              <w:rPr>
                <w:b/>
                <w:bCs/>
              </w:rPr>
              <w:t>Method</w:t>
            </w:r>
          </w:p>
        </w:tc>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tcPr>
          <w:p w14:paraId="0D7421DB" w14:textId="77777777" w:rsidR="00B53433" w:rsidRDefault="00000000">
            <w:r>
              <w:rPr>
                <w:b/>
                <w:bCs/>
              </w:rPr>
              <w:t>Paper</w:t>
            </w:r>
          </w:p>
        </w:tc>
        <w:tc>
          <w:tcPr>
            <w:tcW w:w="436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tcPr>
          <w:p w14:paraId="3B437F30" w14:textId="77777777" w:rsidR="00B53433" w:rsidRDefault="00000000">
            <w:r>
              <w:rPr>
                <w:b/>
                <w:bCs/>
              </w:rPr>
              <w:t>Adaptation required</w:t>
            </w:r>
          </w:p>
        </w:tc>
      </w:tr>
      <w:tr w:rsidR="00B53433" w14:paraId="3A4A04E5" w14:textId="77777777">
        <w:tc>
          <w:tcPr>
            <w:tcW w:w="20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08199319" w14:textId="77777777" w:rsidR="00B53433" w:rsidRDefault="00000000">
            <w:r>
              <w:t>Spectral Signatures</w:t>
            </w:r>
          </w:p>
        </w:tc>
        <w:tc>
          <w:tcPr>
            <w:tcW w:w="30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582CE612" w14:textId="77777777" w:rsidR="00B53433" w:rsidRDefault="00000000">
            <w:r>
              <w:t>Tran, Li, Madry 2018 (NeurIPS)</w:t>
            </w:r>
          </w:p>
        </w:tc>
        <w:tc>
          <w:tcPr>
            <w:tcW w:w="4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4D831F06" w14:textId="77777777" w:rsidR="00B53433" w:rsidRDefault="00000000">
            <w:r>
              <w:t>Apply SVD to U-Net feature representations instead of classifier features</w:t>
            </w:r>
          </w:p>
        </w:tc>
      </w:tr>
      <w:tr w:rsidR="00B53433" w14:paraId="7ECCD100" w14:textId="77777777">
        <w:tc>
          <w:tcPr>
            <w:tcW w:w="20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44AA8541" w14:textId="77777777" w:rsidR="00B53433" w:rsidRDefault="00000000">
            <w:r>
              <w:t>DIRE</w:t>
            </w:r>
          </w:p>
        </w:tc>
        <w:tc>
          <w:tcPr>
            <w:tcW w:w="30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5CC6F411" w14:textId="77777777" w:rsidR="00B53433" w:rsidRDefault="00000000">
            <w:r>
              <w:t>Wang et al. 2023 (ICCV)</w:t>
            </w:r>
          </w:p>
        </w:tc>
        <w:tc>
          <w:tcPr>
            <w:tcW w:w="4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578E07C4" w14:textId="77777777" w:rsidR="00B53433" w:rsidRDefault="00000000">
            <w:r>
              <w:t>Use reconstruction error difference between suspect and base model</w:t>
            </w:r>
          </w:p>
        </w:tc>
      </w:tr>
      <w:tr w:rsidR="00B53433" w14:paraId="0038BD69" w14:textId="77777777">
        <w:tc>
          <w:tcPr>
            <w:tcW w:w="20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27AF54C" w14:textId="77777777" w:rsidR="00B53433" w:rsidRDefault="00000000">
            <w:r>
              <w:t>Frequency forensics</w:t>
            </w:r>
          </w:p>
        </w:tc>
        <w:tc>
          <w:tcPr>
            <w:tcW w:w="30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22127AC" w14:textId="77777777" w:rsidR="00B53433" w:rsidRDefault="00000000">
            <w:r>
              <w:t>Frank et al. 2020 (ICML)</w:t>
            </w:r>
          </w:p>
        </w:tc>
        <w:tc>
          <w:tcPr>
            <w:tcW w:w="4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CFBBAC4" w14:textId="77777777" w:rsidR="00B53433" w:rsidRDefault="00000000">
            <w:r>
              <w:t>Aggregate per-image spectral features to model level</w:t>
            </w:r>
          </w:p>
        </w:tc>
      </w:tr>
      <w:tr w:rsidR="00B53433" w14:paraId="631249B0" w14:textId="77777777">
        <w:tc>
          <w:tcPr>
            <w:tcW w:w="20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BC70E35" w14:textId="77777777" w:rsidR="00B53433" w:rsidRDefault="00000000">
            <w:r>
              <w:t>SecMI / DRC</w:t>
            </w:r>
          </w:p>
        </w:tc>
        <w:tc>
          <w:tcPr>
            <w:tcW w:w="30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3E78CF69" w14:textId="77777777" w:rsidR="00B53433" w:rsidRDefault="00000000">
            <w:r>
              <w:t>Duan et al. 2023 (ICML)</w:t>
            </w:r>
          </w:p>
        </w:tc>
        <w:tc>
          <w:tcPr>
            <w:tcW w:w="43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3BB9D44C" w14:textId="77777777" w:rsidR="00B53433" w:rsidRDefault="00000000">
            <w:r>
              <w:t>Membership inference as logo memorization proxy</w:t>
            </w:r>
          </w:p>
        </w:tc>
      </w:tr>
    </w:tbl>
    <w:p w14:paraId="4FA1DC39" w14:textId="77777777" w:rsidR="00B53433" w:rsidRDefault="00B53433">
      <w:pPr>
        <w:spacing w:after="120"/>
      </w:pPr>
    </w:p>
    <w:p w14:paraId="0F8A5725" w14:textId="77777777" w:rsidR="00B53433" w:rsidRDefault="00000000">
      <w:pPr>
        <w:pStyle w:val="Heading2"/>
      </w:pPr>
      <w:r>
        <w:t>Tier 3: Our own simpler variants (ablations)</w:t>
      </w:r>
    </w:p>
    <w:p w14:paraId="493DD126" w14:textId="77777777" w:rsidR="00B53433" w:rsidRDefault="00000000">
      <w:pPr>
        <w:pStyle w:val="ListParagraph"/>
        <w:numPr>
          <w:ilvl w:val="0"/>
          <w:numId w:val="2"/>
        </w:numPr>
        <w:spacing w:after="80"/>
      </w:pPr>
      <w:r>
        <w:t>Power spectrum aggregation without SVD (shows why spectral structure matters)</w:t>
      </w:r>
    </w:p>
    <w:p w14:paraId="638D8D2C" w14:textId="77777777" w:rsidR="00B53433" w:rsidRDefault="00000000">
      <w:pPr>
        <w:pStyle w:val="ListParagraph"/>
        <w:numPr>
          <w:ilvl w:val="0"/>
          <w:numId w:val="2"/>
        </w:numPr>
        <w:spacing w:after="80"/>
      </w:pPr>
      <w:r>
        <w:t>SVD with heuristic threshold instead of Tracy-Widom (shows why principled thresholds matter)</w:t>
      </w:r>
    </w:p>
    <w:p w14:paraId="486DC02E" w14:textId="77777777" w:rsidR="00B53433" w:rsidRDefault="00000000">
      <w:pPr>
        <w:pStyle w:val="ListParagraph"/>
        <w:numPr>
          <w:ilvl w:val="0"/>
          <w:numId w:val="2"/>
        </w:numPr>
        <w:spacing w:after="80"/>
      </w:pPr>
      <w:r>
        <w:t>Per-image detection without population aggregation (shows why aggregation is essential)</w:t>
      </w:r>
    </w:p>
    <w:p w14:paraId="35726D78" w14:textId="77777777" w:rsidR="00B53433" w:rsidRDefault="00000000">
      <w:pPr>
        <w:pStyle w:val="ListParagraph"/>
        <w:numPr>
          <w:ilvl w:val="0"/>
          <w:numId w:val="2"/>
        </w:numPr>
        <w:spacing w:after="80"/>
      </w:pPr>
      <w:r>
        <w:t>Pixel-domain analysis without residual extraction (shows why residual extraction matters)</w:t>
      </w:r>
    </w:p>
    <w:p w14:paraId="01DE5663" w14:textId="77777777" w:rsidR="00B53433" w:rsidRDefault="00000000">
      <w:pPr>
        <w:pStyle w:val="Heading1"/>
      </w:pPr>
      <w:r>
        <w:t>5. State-of-the-Art Reference Papers</w:t>
      </w:r>
    </w:p>
    <w:p w14:paraId="49A4B382" w14:textId="77777777" w:rsidR="00B53433" w:rsidRDefault="00000000">
      <w:pPr>
        <w:spacing w:after="120"/>
      </w:pPr>
      <w:r>
        <w:t>There is no established state-of-the-art for our specific problem. We are defining it. However, these are the most relevant papers reviewers will expect us to engage with.</w:t>
      </w:r>
    </w:p>
    <w:p w14:paraId="4E876E20" w14:textId="77777777" w:rsidR="00B53433" w:rsidRDefault="00000000">
      <w:pPr>
        <w:pStyle w:val="Heading2"/>
      </w:pPr>
      <w:r>
        <w:t>Attack papers</w:t>
      </w:r>
    </w:p>
    <w:p w14:paraId="3C98A1AF" w14:textId="77777777" w:rsidR="00B53433" w:rsidRDefault="00000000">
      <w:pPr>
        <w:pStyle w:val="ListParagraph"/>
        <w:numPr>
          <w:ilvl w:val="0"/>
          <w:numId w:val="2"/>
        </w:numPr>
        <w:spacing w:after="80"/>
      </w:pPr>
      <w:r>
        <w:t>Silent Branding Attack, Jang et al., CVPR 2025 (the canonical trigger-free attack we target)</w:t>
      </w:r>
    </w:p>
    <w:p w14:paraId="467F8B2B" w14:textId="77777777" w:rsidR="00B53433" w:rsidRDefault="00000000">
      <w:pPr>
        <w:pStyle w:val="ListParagraph"/>
        <w:numPr>
          <w:ilvl w:val="0"/>
          <w:numId w:val="2"/>
        </w:numPr>
        <w:spacing w:after="80"/>
      </w:pPr>
      <w:r>
        <w:t>Nightshade, Shan et al., IEEE S&amp;P 2024 (concept poisoning; adjacent threat model)</w:t>
      </w:r>
    </w:p>
    <w:p w14:paraId="260ACD3C" w14:textId="77777777" w:rsidR="00B53433" w:rsidRDefault="00000000">
      <w:pPr>
        <w:pStyle w:val="ListParagraph"/>
        <w:numPr>
          <w:ilvl w:val="0"/>
          <w:numId w:val="2"/>
        </w:numPr>
        <w:spacing w:after="80"/>
      </w:pPr>
      <w:r>
        <w:t>SilentBadDiffusion, Wang et al., ICML 2024 (copyright-focused data poisoning)</w:t>
      </w:r>
    </w:p>
    <w:p w14:paraId="07703DC2" w14:textId="77777777" w:rsidR="00B53433" w:rsidRDefault="00000000">
      <w:pPr>
        <w:pStyle w:val="ListParagraph"/>
        <w:numPr>
          <w:ilvl w:val="0"/>
          <w:numId w:val="2"/>
        </w:numPr>
        <w:spacing w:after="80"/>
      </w:pPr>
      <w:r>
        <w:t>SemBD, Chen et al., arXiv 2602.04898, Feb 2026 (semantic-level backdoor; defeats NaviT2I)</w:t>
      </w:r>
    </w:p>
    <w:p w14:paraId="77FDEF79" w14:textId="77777777" w:rsidR="00B53433" w:rsidRDefault="00000000">
      <w:pPr>
        <w:pStyle w:val="Heading2"/>
      </w:pPr>
      <w:r>
        <w:t>Diagnostic / theoretical papers</w:t>
      </w:r>
    </w:p>
    <w:p w14:paraId="63D8F768" w14:textId="77777777" w:rsidR="00B53433" w:rsidRDefault="00000000">
      <w:pPr>
        <w:pStyle w:val="ListParagraph"/>
        <w:numPr>
          <w:ilvl w:val="0"/>
          <w:numId w:val="2"/>
        </w:numPr>
        <w:spacing w:after="80"/>
      </w:pPr>
      <w:r>
        <w:t>SEMAD, Chen &amp; Zhu, arXiv 2602.20193, Feb 2026 (proves low-rank deformation theorem)</w:t>
      </w:r>
    </w:p>
    <w:p w14:paraId="159833C4" w14:textId="77777777" w:rsidR="00B53433" w:rsidRDefault="00000000">
      <w:pPr>
        <w:pStyle w:val="ListParagraph"/>
        <w:numPr>
          <w:ilvl w:val="0"/>
          <w:numId w:val="2"/>
        </w:numPr>
        <w:spacing w:after="80"/>
      </w:pPr>
      <w:r>
        <w:t>Flynn &amp; Granziol, arXiv 2505.15175, 2025 (RMT theory of poisoning)</w:t>
      </w:r>
    </w:p>
    <w:p w14:paraId="0B0697A9" w14:textId="77777777" w:rsidR="00B53433" w:rsidRDefault="00000000">
      <w:pPr>
        <w:pStyle w:val="ListParagraph"/>
        <w:numPr>
          <w:ilvl w:val="0"/>
          <w:numId w:val="2"/>
        </w:numPr>
        <w:spacing w:after="80"/>
      </w:pPr>
      <w:r>
        <w:t>Spectral Signatures, Tran, Li, Madry, NeurIPS 2018 (SVD-based poison detection foundation)</w:t>
      </w:r>
    </w:p>
    <w:p w14:paraId="16F4DD61" w14:textId="77777777" w:rsidR="00B53433" w:rsidRDefault="00000000">
      <w:pPr>
        <w:pStyle w:val="Heading2"/>
      </w:pPr>
      <w:r>
        <w:t>Benchmark / evaluation paper</w:t>
      </w:r>
    </w:p>
    <w:p w14:paraId="4ADD8171" w14:textId="77777777" w:rsidR="00B53433" w:rsidRDefault="00000000">
      <w:pPr>
        <w:pStyle w:val="ListParagraph"/>
        <w:numPr>
          <w:ilvl w:val="0"/>
          <w:numId w:val="2"/>
        </w:numPr>
        <w:spacing w:after="80"/>
      </w:pPr>
      <w:r>
        <w:lastRenderedPageBreak/>
        <w:t>BackdoorDM, Lin et al., NeurIPS 2025 D&amp;B Track (evaluation framework and standards)</w:t>
      </w:r>
    </w:p>
    <w:p w14:paraId="2EBBB686" w14:textId="77777777" w:rsidR="00B53433" w:rsidRDefault="00000000">
      <w:pPr>
        <w:pStyle w:val="Heading2"/>
      </w:pPr>
      <w:r>
        <w:t>Concurrent threat defenses</w:t>
      </w:r>
    </w:p>
    <w:p w14:paraId="725610C9" w14:textId="77777777" w:rsidR="00B53433" w:rsidRDefault="00000000">
      <w:pPr>
        <w:pStyle w:val="ListParagraph"/>
        <w:numPr>
          <w:ilvl w:val="0"/>
          <w:numId w:val="2"/>
        </w:numPr>
        <w:spacing w:after="80"/>
      </w:pPr>
      <w:r>
        <w:t>BlackMirror, Li et al., CVPR 2026 (black-box auditing; different framing)</w:t>
      </w:r>
    </w:p>
    <w:p w14:paraId="6ACEF49D" w14:textId="77777777" w:rsidR="00B53433" w:rsidRDefault="00000000">
      <w:pPr>
        <w:pStyle w:val="ListParagraph"/>
        <w:numPr>
          <w:ilvl w:val="0"/>
          <w:numId w:val="2"/>
        </w:numPr>
        <w:spacing w:after="80"/>
      </w:pPr>
      <w:r>
        <w:t>Backdoor Sentinel, arXiv 2602.01765, 2026 (gray-box; temporal noise consistency)</w:t>
      </w:r>
    </w:p>
    <w:p w14:paraId="208B2625" w14:textId="77777777" w:rsidR="00B53433" w:rsidRDefault="00000000">
      <w:pPr>
        <w:pStyle w:val="ListParagraph"/>
        <w:numPr>
          <w:ilvl w:val="0"/>
          <w:numId w:val="2"/>
        </w:numPr>
        <w:spacing w:after="80"/>
      </w:pPr>
      <w:r>
        <w:t>STEDiff/STEDF, ICLR 2026 (weight enrichment phenomenon)</w:t>
      </w:r>
    </w:p>
    <w:p w14:paraId="15431DB4" w14:textId="77777777" w:rsidR="00B53433" w:rsidRDefault="00000000">
      <w:pPr>
        <w:pStyle w:val="Heading1"/>
      </w:pPr>
      <w:r>
        <w:t>6. Benchmarks and Datasets</w:t>
      </w:r>
    </w:p>
    <w:p w14:paraId="4AD74813" w14:textId="77777777" w:rsidR="00B53433" w:rsidRDefault="00000000">
      <w:pPr>
        <w:pStyle w:val="Heading2"/>
      </w:pPr>
      <w:r>
        <w:t>Primary benchmark: BackdoorDM (NeurIPS 2025)</w:t>
      </w:r>
    </w:p>
    <w:p w14:paraId="3FF4D7E5" w14:textId="77777777" w:rsidR="00B53433" w:rsidRDefault="00000000">
      <w:pPr>
        <w:spacing w:after="120"/>
      </w:pPr>
      <w:r>
        <w:t>GitHub: github.com/linweiii/BackdoorDM</w:t>
      </w:r>
    </w:p>
    <w:p w14:paraId="2F0B419C" w14:textId="77777777" w:rsidR="00B53433" w:rsidRDefault="00000000">
      <w:pPr>
        <w:spacing w:after="120"/>
      </w:pPr>
      <w:r>
        <w:t>This is the emerging evaluation standard for diffusion backdoor defenses. Provides standardized attack implementations, defense implementations, and GPT-4o-based evaluation. We extend it by adding trigger-free attacks.</w:t>
      </w:r>
    </w:p>
    <w:p w14:paraId="5DE0DA35" w14:textId="77777777" w:rsidR="00B53433" w:rsidRDefault="00000000">
      <w:pPr>
        <w:pStyle w:val="Heading2"/>
      </w:pPr>
      <w:r>
        <w:t>Training datasets (for poisoning)</w:t>
      </w:r>
    </w:p>
    <w:p w14:paraId="1620099C" w14:textId="77777777" w:rsidR="00B53433" w:rsidRDefault="00000000">
      <w:pPr>
        <w:pStyle w:val="ListParagraph"/>
        <w:numPr>
          <w:ilvl w:val="0"/>
          <w:numId w:val="2"/>
        </w:numPr>
        <w:spacing w:after="80"/>
      </w:pPr>
      <w:r>
        <w:t>LAION-Aesthetics v2 5+ subset (~40K images, BackdoorDM standard)</w:t>
      </w:r>
    </w:p>
    <w:p w14:paraId="661D5DCB" w14:textId="77777777" w:rsidR="00B53433" w:rsidRDefault="00000000">
      <w:pPr>
        <w:pStyle w:val="ListParagraph"/>
        <w:numPr>
          <w:ilvl w:val="0"/>
          <w:numId w:val="2"/>
        </w:numPr>
        <w:spacing w:after="80"/>
      </w:pPr>
      <w:r>
        <w:t>Midjourney v6 subset (Silent Branding's original dataset)</w:t>
      </w:r>
    </w:p>
    <w:p w14:paraId="0FA41076" w14:textId="77777777" w:rsidR="00B53433" w:rsidRDefault="00000000">
      <w:pPr>
        <w:pStyle w:val="ListParagraph"/>
        <w:numPr>
          <w:ilvl w:val="0"/>
          <w:numId w:val="2"/>
        </w:numPr>
        <w:spacing w:after="80"/>
      </w:pPr>
      <w:r>
        <w:t>Tarot (Silent Branding's style dataset)</w:t>
      </w:r>
    </w:p>
    <w:p w14:paraId="24183EEF" w14:textId="77777777" w:rsidR="00B53433" w:rsidRDefault="00000000">
      <w:pPr>
        <w:pStyle w:val="ListParagraph"/>
        <w:numPr>
          <w:ilvl w:val="0"/>
          <w:numId w:val="2"/>
        </w:numPr>
        <w:spacing w:after="80"/>
      </w:pPr>
      <w:r>
        <w:t>CelebA-HQ-Dialog (for comparison with VillanCond-style attacks)</w:t>
      </w:r>
    </w:p>
    <w:p w14:paraId="513315EA" w14:textId="77777777" w:rsidR="00B53433" w:rsidRDefault="00000000">
      <w:pPr>
        <w:pStyle w:val="Heading2"/>
      </w:pPr>
      <w:r>
        <w:t>Evaluation prompts</w:t>
      </w:r>
    </w:p>
    <w:p w14:paraId="2FDC899A" w14:textId="77777777" w:rsidR="00B53433" w:rsidRDefault="00000000">
      <w:pPr>
        <w:pStyle w:val="ListParagraph"/>
        <w:numPr>
          <w:ilvl w:val="0"/>
          <w:numId w:val="2"/>
        </w:numPr>
        <w:spacing w:after="80"/>
      </w:pPr>
      <w:r>
        <w:t>MS-COCO 2014 validation (~10K images, field standard)</w:t>
      </w:r>
    </w:p>
    <w:p w14:paraId="3A979962" w14:textId="77777777" w:rsidR="00B53433" w:rsidRDefault="00000000">
      <w:pPr>
        <w:pStyle w:val="ListParagraph"/>
        <w:numPr>
          <w:ilvl w:val="0"/>
          <w:numId w:val="2"/>
        </w:numPr>
        <w:spacing w:after="80"/>
      </w:pPr>
      <w:r>
        <w:t>DiffusionDB (large-scale user prompts)</w:t>
      </w:r>
    </w:p>
    <w:p w14:paraId="64E42688" w14:textId="77777777" w:rsidR="00B53433" w:rsidRDefault="00000000">
      <w:pPr>
        <w:pStyle w:val="ListParagraph"/>
        <w:numPr>
          <w:ilvl w:val="0"/>
          <w:numId w:val="2"/>
        </w:numPr>
        <w:spacing w:after="80"/>
      </w:pPr>
      <w:r>
        <w:t>PartiPrompts (1,600+ diverse prompts)</w:t>
      </w:r>
    </w:p>
    <w:p w14:paraId="1FA718C2" w14:textId="77777777" w:rsidR="00B53433" w:rsidRDefault="00000000">
      <w:pPr>
        <w:pStyle w:val="Heading2"/>
      </w:pPr>
      <w:r>
        <w:t>Base models (must test across all three minimum)</w:t>
      </w:r>
    </w:p>
    <w:p w14:paraId="686D8CC9" w14:textId="77777777" w:rsidR="00B53433" w:rsidRDefault="00000000">
      <w:pPr>
        <w:pStyle w:val="ListParagraph"/>
        <w:numPr>
          <w:ilvl w:val="0"/>
          <w:numId w:val="2"/>
        </w:numPr>
        <w:spacing w:after="80"/>
      </w:pPr>
      <w:r>
        <w:t>Stable Diffusion v1.5 (community standard for diffusion research)</w:t>
      </w:r>
    </w:p>
    <w:p w14:paraId="4DBEF1B5" w14:textId="77777777" w:rsidR="00B53433" w:rsidRDefault="00000000">
      <w:pPr>
        <w:pStyle w:val="ListParagraph"/>
        <w:numPr>
          <w:ilvl w:val="0"/>
          <w:numId w:val="2"/>
        </w:numPr>
        <w:spacing w:after="80"/>
      </w:pPr>
      <w:r>
        <w:t>Stable Diffusion XL (Silent Branding's primary target; standard for current work)</w:t>
      </w:r>
    </w:p>
    <w:p w14:paraId="314B7BCE" w14:textId="77777777" w:rsidR="00B53433" w:rsidRDefault="00000000">
      <w:pPr>
        <w:pStyle w:val="ListParagraph"/>
        <w:numPr>
          <w:ilvl w:val="0"/>
          <w:numId w:val="2"/>
        </w:numPr>
        <w:spacing w:after="80"/>
      </w:pPr>
      <w:r>
        <w:t>FLUX or Stable Diffusion 3 (DiT-based frontier architecture)</w:t>
      </w:r>
    </w:p>
    <w:p w14:paraId="37D95984" w14:textId="77777777" w:rsidR="00B53433" w:rsidRDefault="00000000">
      <w:pPr>
        <w:pStyle w:val="Heading1"/>
      </w:pPr>
      <w:r>
        <w:t>7. Experimental Plan</w:t>
      </w:r>
    </w:p>
    <w:p w14:paraId="284BE1F7" w14:textId="77777777" w:rsidR="00B53433" w:rsidRDefault="00000000">
      <w:pPr>
        <w:pStyle w:val="Heading2"/>
      </w:pPr>
      <w:r>
        <w:t>Phase 1: Pilot experiment</w:t>
      </w:r>
    </w:p>
    <w:p w14:paraId="02287F60" w14:textId="77777777" w:rsidR="00B53433" w:rsidRDefault="00000000">
      <w:pPr>
        <w:spacing w:after="120"/>
      </w:pPr>
      <w:r>
        <w:rPr>
          <w:b/>
          <w:bCs/>
        </w:rPr>
        <w:t xml:space="preserve">Goal: </w:t>
      </w:r>
      <w:r>
        <w:t>Verify the method works in principle before full investment.</w:t>
      </w:r>
    </w:p>
    <w:p w14:paraId="66AB33A7" w14:textId="77777777" w:rsidR="00B53433" w:rsidRDefault="00000000">
      <w:pPr>
        <w:pStyle w:val="ListParagraph"/>
        <w:numPr>
          <w:ilvl w:val="0"/>
          <w:numId w:val="2"/>
        </w:numPr>
        <w:spacing w:after="80"/>
      </w:pPr>
      <w:r>
        <w:t>Download Silent Branding code (github.com/agwmon/silent-branding-attack)</w:t>
      </w:r>
    </w:p>
    <w:p w14:paraId="50E98D33" w14:textId="77777777" w:rsidR="00B53433" w:rsidRDefault="00000000">
      <w:pPr>
        <w:pStyle w:val="ListParagraph"/>
        <w:numPr>
          <w:ilvl w:val="0"/>
          <w:numId w:val="2"/>
        </w:numPr>
        <w:spacing w:after="80"/>
      </w:pPr>
      <w:r>
        <w:t>Fine-tune SD v1.5 on poisoned dataset</w:t>
      </w:r>
    </w:p>
    <w:p w14:paraId="2ADAADDA" w14:textId="77777777" w:rsidR="00B53433" w:rsidRDefault="00000000">
      <w:pPr>
        <w:pStyle w:val="ListParagraph"/>
        <w:numPr>
          <w:ilvl w:val="0"/>
          <w:numId w:val="2"/>
        </w:numPr>
        <w:spacing w:after="80"/>
      </w:pPr>
      <w:r>
        <w:t>Generate 5,000 images from clean SD v1.5 and 5,000 from poisoned model</w:t>
      </w:r>
    </w:p>
    <w:p w14:paraId="224C533F" w14:textId="77777777" w:rsidR="00B53433" w:rsidRDefault="00000000">
      <w:pPr>
        <w:pStyle w:val="ListParagraph"/>
        <w:numPr>
          <w:ilvl w:val="0"/>
          <w:numId w:val="2"/>
        </w:numPr>
        <w:spacing w:after="80"/>
      </w:pPr>
      <w:r>
        <w:t>Extract noise residuals (BM3D or wavelet-based Wiener filter)</w:t>
      </w:r>
    </w:p>
    <w:p w14:paraId="65226390" w14:textId="77777777" w:rsidR="00B53433" w:rsidRDefault="00000000">
      <w:pPr>
        <w:pStyle w:val="ListParagraph"/>
        <w:numPr>
          <w:ilvl w:val="0"/>
          <w:numId w:val="2"/>
        </w:numPr>
        <w:spacing w:after="80"/>
      </w:pPr>
      <w:r>
        <w:lastRenderedPageBreak/>
        <w:t>Compute covariance matrix, take SVD</w:t>
      </w:r>
    </w:p>
    <w:p w14:paraId="735276AF" w14:textId="77777777" w:rsidR="00B53433" w:rsidRDefault="00000000">
      <w:pPr>
        <w:pStyle w:val="ListParagraph"/>
        <w:numPr>
          <w:ilvl w:val="0"/>
          <w:numId w:val="2"/>
        </w:numPr>
        <w:spacing w:after="80"/>
      </w:pPr>
      <w:r>
        <w:t>Plot largest eigenvalue distribution</w:t>
      </w:r>
    </w:p>
    <w:p w14:paraId="3D9FFC94" w14:textId="77777777" w:rsidR="00B53433" w:rsidRDefault="00000000">
      <w:pPr>
        <w:pStyle w:val="ListParagraph"/>
        <w:numPr>
          <w:ilvl w:val="0"/>
          <w:numId w:val="2"/>
        </w:numPr>
        <w:spacing w:after="80"/>
      </w:pPr>
      <w:r>
        <w:t>Compare to Tracy-Widom theoretical bound</w:t>
      </w:r>
    </w:p>
    <w:p w14:paraId="3DA98DE9" w14:textId="77777777" w:rsidR="00B53433" w:rsidRDefault="00000000">
      <w:pPr>
        <w:spacing w:after="120"/>
      </w:pPr>
      <w:r>
        <w:rPr>
          <w:b/>
          <w:bCs/>
        </w:rPr>
        <w:t xml:space="preserve">Success criterion: </w:t>
      </w:r>
      <w:r>
        <w:t>Clean eigenvalues stay below threshold, poisoned eigenvalues cross it, with clear separation.</w:t>
      </w:r>
    </w:p>
    <w:p w14:paraId="2CB5FCD0" w14:textId="77777777" w:rsidR="00B53433" w:rsidRDefault="00000000">
      <w:pPr>
        <w:pStyle w:val="Heading2"/>
      </w:pPr>
      <w:r>
        <w:t>Phase 2: Main detection experiments</w:t>
      </w:r>
    </w:p>
    <w:p w14:paraId="5CB070E2" w14:textId="77777777" w:rsidR="00B53433" w:rsidRDefault="00000000">
      <w:pPr>
        <w:spacing w:after="120"/>
      </w:pPr>
      <w:r>
        <w:rPr>
          <w:b/>
          <w:bCs/>
        </w:rPr>
        <w:t>Train poisoned models:</w:t>
      </w:r>
    </w:p>
    <w:p w14:paraId="77E76637" w14:textId="77777777" w:rsidR="00B53433" w:rsidRDefault="00000000">
      <w:pPr>
        <w:pStyle w:val="ListParagraph"/>
        <w:numPr>
          <w:ilvl w:val="0"/>
          <w:numId w:val="2"/>
        </w:numPr>
        <w:spacing w:after="80"/>
      </w:pPr>
      <w:r>
        <w:t>10-15 Silent Branding variants (different logos, sizes, opacities, placement strategies)</w:t>
      </w:r>
    </w:p>
    <w:p w14:paraId="03493D33" w14:textId="77777777" w:rsidR="00B53433" w:rsidRDefault="00000000">
      <w:pPr>
        <w:pStyle w:val="ListParagraph"/>
        <w:numPr>
          <w:ilvl w:val="0"/>
          <w:numId w:val="2"/>
        </w:numPr>
        <w:spacing w:after="80"/>
      </w:pPr>
      <w:r>
        <w:t>5-10 self-designed trigger-free variants (see Phase 4)</w:t>
      </w:r>
    </w:p>
    <w:p w14:paraId="2BBD92B0" w14:textId="77777777" w:rsidR="00B53433" w:rsidRDefault="00000000">
      <w:pPr>
        <w:pStyle w:val="ListParagraph"/>
        <w:numPr>
          <w:ilvl w:val="0"/>
          <w:numId w:val="2"/>
        </w:numPr>
        <w:spacing w:after="80"/>
      </w:pPr>
      <w:r>
        <w:t>5-10 cross-architecture variants (SD v1.5, SDXL, FLUX)</w:t>
      </w:r>
    </w:p>
    <w:p w14:paraId="22B13685" w14:textId="77777777" w:rsidR="00B53433" w:rsidRDefault="00000000">
      <w:pPr>
        <w:spacing w:after="120"/>
      </w:pPr>
      <w:r>
        <w:rPr>
          <w:b/>
          <w:bCs/>
        </w:rPr>
        <w:t>Train clean controls:</w:t>
      </w:r>
    </w:p>
    <w:p w14:paraId="038548DD" w14:textId="77777777" w:rsidR="00B53433" w:rsidRDefault="00000000">
      <w:pPr>
        <w:pStyle w:val="ListParagraph"/>
        <w:numPr>
          <w:ilvl w:val="0"/>
          <w:numId w:val="2"/>
        </w:numPr>
        <w:spacing w:after="80"/>
      </w:pPr>
      <w:r>
        <w:t>10-20 clean models across architectures, datasets, seeds</w:t>
      </w:r>
    </w:p>
    <w:p w14:paraId="2B48F0C5" w14:textId="77777777" w:rsidR="00B53433" w:rsidRDefault="00000000">
      <w:pPr>
        <w:spacing w:after="120"/>
      </w:pPr>
      <w:r>
        <w:rPr>
          <w:b/>
          <w:bCs/>
        </w:rPr>
        <w:t>For each model, compute:</w:t>
      </w:r>
    </w:p>
    <w:p w14:paraId="28498F08" w14:textId="77777777" w:rsidR="00B53433" w:rsidRDefault="00000000">
      <w:pPr>
        <w:pStyle w:val="ListParagraph"/>
        <w:numPr>
          <w:ilvl w:val="0"/>
          <w:numId w:val="2"/>
        </w:numPr>
        <w:spacing w:after="80"/>
      </w:pPr>
      <w:r>
        <w:t>Largest singular value of residual covariance</w:t>
      </w:r>
    </w:p>
    <w:p w14:paraId="2900FB1A" w14:textId="77777777" w:rsidR="00B53433" w:rsidRDefault="00000000">
      <w:pPr>
        <w:pStyle w:val="ListParagraph"/>
        <w:numPr>
          <w:ilvl w:val="0"/>
          <w:numId w:val="2"/>
        </w:numPr>
        <w:spacing w:after="80"/>
      </w:pPr>
      <w:r>
        <w:t>AUROC across clean-vs-poisoned classification</w:t>
      </w:r>
    </w:p>
    <w:p w14:paraId="25ADDC14" w14:textId="77777777" w:rsidR="00B53433" w:rsidRDefault="00000000">
      <w:pPr>
        <w:pStyle w:val="ListParagraph"/>
        <w:numPr>
          <w:ilvl w:val="0"/>
          <w:numId w:val="2"/>
        </w:numPr>
        <w:spacing w:after="80"/>
      </w:pPr>
      <w:r>
        <w:t>FPR @ TPR=0.95</w:t>
      </w:r>
    </w:p>
    <w:p w14:paraId="19E0B79F" w14:textId="77777777" w:rsidR="00B53433" w:rsidRDefault="00000000">
      <w:pPr>
        <w:pStyle w:val="ListParagraph"/>
        <w:numPr>
          <w:ilvl w:val="0"/>
          <w:numId w:val="2"/>
        </w:numPr>
        <w:spacing w:after="80"/>
      </w:pPr>
      <w:r>
        <w:t>Sample complexity curve (N = 100, 500, 1000, 5000, 10000)</w:t>
      </w:r>
    </w:p>
    <w:p w14:paraId="5CF105C2" w14:textId="77777777" w:rsidR="00B53433" w:rsidRDefault="00000000">
      <w:pPr>
        <w:pStyle w:val="Heading2"/>
      </w:pPr>
      <w:r>
        <w:t>Phase 3: Baseline comparison</w:t>
      </w:r>
    </w:p>
    <w:p w14:paraId="2576C9C1" w14:textId="77777777" w:rsidR="00B53433" w:rsidRDefault="00000000">
      <w:pPr>
        <w:spacing w:after="120"/>
      </w:pPr>
      <w:r>
        <w:t>Run all Tier 1 and Tier 2 baselines on the same poisoned models. Report AUROC and F1 for each. Expected outcome:</w:t>
      </w:r>
    </w:p>
    <w:p w14:paraId="5926C8A1" w14:textId="77777777" w:rsidR="00B53433" w:rsidRDefault="00000000">
      <w:pPr>
        <w:pStyle w:val="ListParagraph"/>
        <w:numPr>
          <w:ilvl w:val="0"/>
          <w:numId w:val="2"/>
        </w:numPr>
        <w:spacing w:after="80"/>
      </w:pPr>
      <w:r>
        <w:t>Tier 1 (trigger-based): AUROC near 0.5 (random), establishes the gap</w:t>
      </w:r>
    </w:p>
    <w:p w14:paraId="3FEBA852" w14:textId="77777777" w:rsidR="00B53433" w:rsidRDefault="00000000">
      <w:pPr>
        <w:pStyle w:val="ListParagraph"/>
        <w:numPr>
          <w:ilvl w:val="0"/>
          <w:numId w:val="2"/>
        </w:numPr>
        <w:spacing w:after="80"/>
      </w:pPr>
      <w:r>
        <w:t>Tier 2 (adapted): AUROC 0.6-0.8, establishes non-trivial baselines exist</w:t>
      </w:r>
    </w:p>
    <w:p w14:paraId="4EA537D7" w14:textId="77777777" w:rsidR="00B53433" w:rsidRDefault="00000000">
      <w:pPr>
        <w:pStyle w:val="ListParagraph"/>
        <w:numPr>
          <w:ilvl w:val="0"/>
          <w:numId w:val="2"/>
        </w:numPr>
        <w:spacing w:after="80"/>
      </w:pPr>
      <w:r>
        <w:t>Our method: AUROC ≥ 0.90, establishes contribution</w:t>
      </w:r>
    </w:p>
    <w:p w14:paraId="335C1C15" w14:textId="77777777" w:rsidR="00B53433" w:rsidRDefault="00000000">
      <w:pPr>
        <w:pStyle w:val="Heading2"/>
      </w:pPr>
      <w:r>
        <w:t>Phase 4: Generalization experiments</w:t>
      </w:r>
    </w:p>
    <w:p w14:paraId="6FAE1776" w14:textId="77777777" w:rsidR="00B53433" w:rsidRDefault="00000000">
      <w:pPr>
        <w:spacing w:after="120"/>
      </w:pPr>
      <w:r>
        <w:rPr>
          <w:b/>
          <w:bCs/>
        </w:rPr>
        <w:t>Within Silent Branding variations:</w:t>
      </w:r>
    </w:p>
    <w:p w14:paraId="04C6EECD" w14:textId="77777777" w:rsidR="00B53433" w:rsidRDefault="00000000">
      <w:pPr>
        <w:pStyle w:val="ListParagraph"/>
        <w:numPr>
          <w:ilvl w:val="0"/>
          <w:numId w:val="2"/>
        </w:numPr>
        <w:spacing w:after="80"/>
      </w:pPr>
      <w:r>
        <w:t>Logo sizes: 5%, 15%, 30% of image</w:t>
      </w:r>
    </w:p>
    <w:p w14:paraId="5EC3D55C" w14:textId="77777777" w:rsidR="00B53433" w:rsidRDefault="00000000">
      <w:pPr>
        <w:pStyle w:val="ListParagraph"/>
        <w:numPr>
          <w:ilvl w:val="0"/>
          <w:numId w:val="2"/>
        </w:numPr>
        <w:spacing w:after="80"/>
      </w:pPr>
      <w:r>
        <w:t>Logo types: simple shapes, text, complex graphics, abstract</w:t>
      </w:r>
    </w:p>
    <w:p w14:paraId="19DD0EAE" w14:textId="77777777" w:rsidR="00B53433" w:rsidRDefault="00000000">
      <w:pPr>
        <w:pStyle w:val="ListParagraph"/>
        <w:numPr>
          <w:ilvl w:val="0"/>
          <w:numId w:val="2"/>
        </w:numPr>
        <w:spacing w:after="80"/>
      </w:pPr>
      <w:r>
        <w:t>Poisoning rates: 1%, 5%, 10%, 25%, 50%, 100%</w:t>
      </w:r>
    </w:p>
    <w:p w14:paraId="5088DE09" w14:textId="77777777" w:rsidR="00B53433" w:rsidRDefault="00000000">
      <w:pPr>
        <w:pStyle w:val="ListParagraph"/>
        <w:numPr>
          <w:ilvl w:val="0"/>
          <w:numId w:val="2"/>
        </w:numPr>
        <w:spacing w:after="80"/>
      </w:pPr>
      <w:r>
        <w:t>Placement: corner, semantic, random</w:t>
      </w:r>
    </w:p>
    <w:p w14:paraId="2DBADB48" w14:textId="77777777" w:rsidR="00B53433" w:rsidRDefault="00000000">
      <w:pPr>
        <w:spacing w:after="120"/>
      </w:pPr>
      <w:r>
        <w:rPr>
          <w:b/>
          <w:bCs/>
        </w:rPr>
        <w:t>Across self-designed attack variants:</w:t>
      </w:r>
    </w:p>
    <w:p w14:paraId="747B3517" w14:textId="77777777" w:rsidR="00B53433" w:rsidRDefault="00000000">
      <w:pPr>
        <w:pStyle w:val="ListParagraph"/>
        <w:numPr>
          <w:ilvl w:val="0"/>
          <w:numId w:val="2"/>
        </w:numPr>
        <w:spacing w:after="80"/>
      </w:pPr>
      <w:r>
        <w:t>Style-based trigger-free attack (consistent visual style instead of logo)</w:t>
      </w:r>
    </w:p>
    <w:p w14:paraId="35B0AEB0" w14:textId="77777777" w:rsidR="00B53433" w:rsidRDefault="00000000">
      <w:pPr>
        <w:pStyle w:val="ListParagraph"/>
        <w:numPr>
          <w:ilvl w:val="0"/>
          <w:numId w:val="2"/>
        </w:numPr>
        <w:spacing w:after="80"/>
      </w:pPr>
      <w:r>
        <w:t>Color palette attack (biased color distribution)</w:t>
      </w:r>
    </w:p>
    <w:p w14:paraId="562A6F07" w14:textId="77777777" w:rsidR="00B53433" w:rsidRDefault="00000000">
      <w:pPr>
        <w:pStyle w:val="ListParagraph"/>
        <w:numPr>
          <w:ilvl w:val="0"/>
          <w:numId w:val="2"/>
        </w:numPr>
        <w:spacing w:after="80"/>
      </w:pPr>
      <w:r>
        <w:t>Texture pattern attack (subtle repeating texture)</w:t>
      </w:r>
    </w:p>
    <w:p w14:paraId="34F23842" w14:textId="77777777" w:rsidR="00B53433" w:rsidRDefault="00000000">
      <w:pPr>
        <w:pStyle w:val="ListParagraph"/>
        <w:numPr>
          <w:ilvl w:val="0"/>
          <w:numId w:val="2"/>
        </w:numPr>
        <w:spacing w:after="80"/>
      </w:pPr>
      <w:r>
        <w:t>Multi-artifact attack (several logos randomly)</w:t>
      </w:r>
    </w:p>
    <w:p w14:paraId="4B651837" w14:textId="77777777" w:rsidR="00B53433" w:rsidRDefault="00000000">
      <w:pPr>
        <w:spacing w:after="120"/>
      </w:pPr>
      <w:r>
        <w:rPr>
          <w:b/>
          <w:bCs/>
        </w:rPr>
        <w:t>Cross-architecture:</w:t>
      </w:r>
    </w:p>
    <w:p w14:paraId="005EC077" w14:textId="77777777" w:rsidR="00B53433" w:rsidRDefault="00000000">
      <w:pPr>
        <w:pStyle w:val="ListParagraph"/>
        <w:numPr>
          <w:ilvl w:val="0"/>
          <w:numId w:val="2"/>
        </w:numPr>
        <w:spacing w:after="80"/>
      </w:pPr>
      <w:r>
        <w:lastRenderedPageBreak/>
        <w:t>Same attack on SD v1.5, SDXL, FLUX</w:t>
      </w:r>
    </w:p>
    <w:p w14:paraId="4E0A3779" w14:textId="77777777" w:rsidR="00B53433" w:rsidRDefault="00000000">
      <w:pPr>
        <w:pStyle w:val="ListParagraph"/>
        <w:numPr>
          <w:ilvl w:val="0"/>
          <w:numId w:val="2"/>
        </w:numPr>
        <w:spacing w:after="80"/>
      </w:pPr>
      <w:r>
        <w:t>Show detection transfers across architectures</w:t>
      </w:r>
    </w:p>
    <w:p w14:paraId="78FEF72B" w14:textId="77777777" w:rsidR="00B53433" w:rsidRDefault="00000000">
      <w:pPr>
        <w:pStyle w:val="Heading2"/>
      </w:pPr>
      <w:r>
        <w:t>Phase 5: Adaptive attack analysis</w:t>
      </w:r>
    </w:p>
    <w:p w14:paraId="685D2F85" w14:textId="77777777" w:rsidR="00B53433" w:rsidRDefault="00000000">
      <w:pPr>
        <w:spacing w:after="120"/>
      </w:pPr>
      <w:r>
        <w:t>Design and evaluate adaptive attacks that know our method exists:</w:t>
      </w:r>
    </w:p>
    <w:p w14:paraId="59F4E7BE" w14:textId="77777777" w:rsidR="00B53433" w:rsidRDefault="00000000">
      <w:pPr>
        <w:pStyle w:val="ListParagraph"/>
        <w:numPr>
          <w:ilvl w:val="0"/>
          <w:numId w:val="2"/>
        </w:numPr>
        <w:spacing w:after="80"/>
      </w:pPr>
      <w:r>
        <w:t>Spectrum-aware embedding: Attacker spreads logo energy across multiple spectral directions to avoid rank-1 spike</w:t>
      </w:r>
    </w:p>
    <w:p w14:paraId="236B497A" w14:textId="77777777" w:rsidR="00B53433" w:rsidRDefault="00000000">
      <w:pPr>
        <w:pStyle w:val="ListParagraph"/>
        <w:numPr>
          <w:ilvl w:val="0"/>
          <w:numId w:val="2"/>
        </w:numPr>
        <w:spacing w:after="80"/>
      </w:pPr>
      <w:r>
        <w:t>Multi-rank attack: Multiple logo variations create rank-k signal that hides in bulk</w:t>
      </w:r>
    </w:p>
    <w:p w14:paraId="65EEA4E9" w14:textId="77777777" w:rsidR="00B53433" w:rsidRDefault="00000000">
      <w:pPr>
        <w:pStyle w:val="ListParagraph"/>
        <w:numPr>
          <w:ilvl w:val="0"/>
          <w:numId w:val="2"/>
        </w:numPr>
        <w:spacing w:after="80"/>
      </w:pPr>
      <w:r>
        <w:t>Noise injection: Inflate bulk eigenvalues to mask signal spike</w:t>
      </w:r>
    </w:p>
    <w:p w14:paraId="0F396573" w14:textId="77777777" w:rsidR="00B53433" w:rsidRDefault="00000000">
      <w:pPr>
        <w:pStyle w:val="ListParagraph"/>
        <w:numPr>
          <w:ilvl w:val="0"/>
          <w:numId w:val="2"/>
        </w:numPr>
        <w:spacing w:after="80"/>
      </w:pPr>
      <w:r>
        <w:t>Sparse poisoning: Logo in only 30% of generations</w:t>
      </w:r>
    </w:p>
    <w:p w14:paraId="27F5A859" w14:textId="77777777" w:rsidR="00B53433" w:rsidRDefault="00000000">
      <w:pPr>
        <w:spacing w:after="120"/>
      </w:pPr>
      <w:r>
        <w:t>For each adaptive attack, report:</w:t>
      </w:r>
    </w:p>
    <w:p w14:paraId="16482152" w14:textId="77777777" w:rsidR="00B53433" w:rsidRDefault="00000000">
      <w:pPr>
        <w:pStyle w:val="ListParagraph"/>
        <w:numPr>
          <w:ilvl w:val="0"/>
          <w:numId w:val="2"/>
        </w:numPr>
        <w:spacing w:after="80"/>
      </w:pPr>
      <w:r>
        <w:t>Our detection AUROC</w:t>
      </w:r>
    </w:p>
    <w:p w14:paraId="68330919" w14:textId="77777777" w:rsidR="00B53433" w:rsidRDefault="00000000">
      <w:pPr>
        <w:pStyle w:val="ListParagraph"/>
        <w:numPr>
          <w:ilvl w:val="0"/>
          <w:numId w:val="2"/>
        </w:numPr>
        <w:spacing w:after="80"/>
      </w:pPr>
      <w:r>
        <w:t>Attack success rate (logo inclusion rate)</w:t>
      </w:r>
    </w:p>
    <w:p w14:paraId="08F0FAC6" w14:textId="77777777" w:rsidR="00B53433" w:rsidRDefault="00000000">
      <w:pPr>
        <w:pStyle w:val="ListParagraph"/>
        <w:numPr>
          <w:ilvl w:val="0"/>
          <w:numId w:val="2"/>
        </w:numPr>
        <w:spacing w:after="80"/>
      </w:pPr>
      <w:r>
        <w:t>The tradeoff curve (evasion cost in attack effectiveness)</w:t>
      </w:r>
    </w:p>
    <w:p w14:paraId="1FD1269E" w14:textId="77777777" w:rsidR="00B53433" w:rsidRDefault="00000000">
      <w:pPr>
        <w:pStyle w:val="Heading2"/>
      </w:pPr>
      <w:r>
        <w:t>Phase 6: Ablations and analysis</w:t>
      </w:r>
    </w:p>
    <w:p w14:paraId="35C34714" w14:textId="77777777" w:rsidR="00B53433" w:rsidRDefault="00000000">
      <w:pPr>
        <w:pStyle w:val="ListParagraph"/>
        <w:numPr>
          <w:ilvl w:val="0"/>
          <w:numId w:val="2"/>
        </w:numPr>
        <w:spacing w:after="80"/>
      </w:pPr>
      <w:r>
        <w:t>Sample complexity: how does N affect detection?</w:t>
      </w:r>
    </w:p>
    <w:p w14:paraId="1F8A8F47" w14:textId="77777777" w:rsidR="00B53433" w:rsidRDefault="00000000">
      <w:pPr>
        <w:pStyle w:val="ListParagraph"/>
        <w:numPr>
          <w:ilvl w:val="0"/>
          <w:numId w:val="2"/>
        </w:numPr>
        <w:spacing w:after="80"/>
      </w:pPr>
      <w:r>
        <w:t>Residual extractor choice: BM3D vs wavelet vs DnCNN</w:t>
      </w:r>
    </w:p>
    <w:p w14:paraId="21A7556F" w14:textId="77777777" w:rsidR="00B53433" w:rsidRDefault="00000000">
      <w:pPr>
        <w:pStyle w:val="ListParagraph"/>
        <w:numPr>
          <w:ilvl w:val="0"/>
          <w:numId w:val="2"/>
        </w:numPr>
        <w:spacing w:after="80"/>
      </w:pPr>
      <w:r>
        <w:t>Covariance window size: image-level vs patch-level</w:t>
      </w:r>
    </w:p>
    <w:p w14:paraId="2B855778" w14:textId="77777777" w:rsidR="00B53433" w:rsidRDefault="00000000">
      <w:pPr>
        <w:pStyle w:val="ListParagraph"/>
        <w:numPr>
          <w:ilvl w:val="0"/>
          <w:numId w:val="2"/>
        </w:numPr>
        <w:spacing w:after="80"/>
      </w:pPr>
      <w:r>
        <w:t>Threshold sensitivity: empirical vs Tracy-Widom</w:t>
      </w:r>
    </w:p>
    <w:p w14:paraId="35796FC2" w14:textId="77777777" w:rsidR="00B53433" w:rsidRDefault="00000000">
      <w:pPr>
        <w:pStyle w:val="ListParagraph"/>
        <w:numPr>
          <w:ilvl w:val="0"/>
          <w:numId w:val="2"/>
        </w:numPr>
        <w:spacing w:after="80"/>
      </w:pPr>
      <w:r>
        <w:t>Computational cost: wall-clock time per model audited</w:t>
      </w:r>
    </w:p>
    <w:p w14:paraId="0EC1452A" w14:textId="77777777" w:rsidR="00B53433" w:rsidRDefault="00000000">
      <w:pPr>
        <w:pStyle w:val="Heading2"/>
      </w:pPr>
      <w:r>
        <w:t>Phase 7: Writing and submission</w:t>
      </w:r>
    </w:p>
    <w:p w14:paraId="27870E03" w14:textId="77777777" w:rsidR="00B53433" w:rsidRDefault="00000000">
      <w:pPr>
        <w:pStyle w:val="ListParagraph"/>
        <w:numPr>
          <w:ilvl w:val="0"/>
          <w:numId w:val="2"/>
        </w:numPr>
        <w:spacing w:after="80"/>
      </w:pPr>
      <w:r>
        <w:t>Target venue: NeurIPS 2026 or CVPR 2027</w:t>
      </w:r>
    </w:p>
    <w:p w14:paraId="033153F2" w14:textId="77777777" w:rsidR="00B53433" w:rsidRDefault="00000000">
      <w:pPr>
        <w:pStyle w:val="ListParagraph"/>
        <w:numPr>
          <w:ilvl w:val="0"/>
          <w:numId w:val="2"/>
        </w:numPr>
        <w:spacing w:after="80"/>
      </w:pPr>
      <w:r>
        <w:t>Backup venues: ICML 2027, USENIX Security 2027</w:t>
      </w:r>
    </w:p>
    <w:p w14:paraId="166E3000" w14:textId="77777777" w:rsidR="00B53433" w:rsidRDefault="00000000">
      <w:pPr>
        <w:pStyle w:val="Heading1"/>
      </w:pPr>
      <w:r>
        <w:t>8. Team Task Allocation</w:t>
      </w:r>
    </w:p>
    <w:p w14:paraId="1C34359D" w14:textId="77777777" w:rsidR="00B53433" w:rsidRDefault="00000000">
      <w:pPr>
        <w:pStyle w:val="Heading3"/>
      </w:pPr>
      <w:r>
        <w:t>Track A: Infrastructure &amp; Attacks</w:t>
      </w:r>
    </w:p>
    <w:p w14:paraId="19F988B3" w14:textId="77777777" w:rsidR="00B53433" w:rsidRDefault="00000000">
      <w:pPr>
        <w:pStyle w:val="ListParagraph"/>
        <w:numPr>
          <w:ilvl w:val="0"/>
          <w:numId w:val="2"/>
        </w:numPr>
        <w:spacing w:after="80"/>
      </w:pPr>
      <w:r>
        <w:t>Set up Silent Branding pipeline on HPC (Hopper)</w:t>
      </w:r>
    </w:p>
    <w:p w14:paraId="14FE0B81" w14:textId="77777777" w:rsidR="00B53433" w:rsidRDefault="00000000">
      <w:pPr>
        <w:pStyle w:val="ListParagraph"/>
        <w:numPr>
          <w:ilvl w:val="0"/>
          <w:numId w:val="2"/>
        </w:numPr>
        <w:spacing w:after="80"/>
      </w:pPr>
      <w:r>
        <w:t>Implement self-designed attack variants</w:t>
      </w:r>
    </w:p>
    <w:p w14:paraId="710C0A7C" w14:textId="77777777" w:rsidR="00B53433" w:rsidRDefault="00000000">
      <w:pPr>
        <w:pStyle w:val="ListParagraph"/>
        <w:numPr>
          <w:ilvl w:val="0"/>
          <w:numId w:val="2"/>
        </w:numPr>
        <w:spacing w:after="80"/>
      </w:pPr>
      <w:r>
        <w:t>Train all poisoned models</w:t>
      </w:r>
    </w:p>
    <w:p w14:paraId="75FB20D8" w14:textId="77777777" w:rsidR="00B53433" w:rsidRDefault="00000000">
      <w:pPr>
        <w:pStyle w:val="Heading3"/>
      </w:pPr>
      <w:r>
        <w:t>Track B: Method Implementation</w:t>
      </w:r>
    </w:p>
    <w:p w14:paraId="3E27EA97" w14:textId="77777777" w:rsidR="00B53433" w:rsidRDefault="00000000">
      <w:pPr>
        <w:pStyle w:val="ListParagraph"/>
        <w:numPr>
          <w:ilvl w:val="0"/>
          <w:numId w:val="2"/>
        </w:numPr>
        <w:spacing w:after="80"/>
      </w:pPr>
      <w:r>
        <w:t>Implement residual extraction pipeline (BM3D, wavelet options)</w:t>
      </w:r>
    </w:p>
    <w:p w14:paraId="1C5F80E5" w14:textId="77777777" w:rsidR="00B53433" w:rsidRDefault="00000000">
      <w:pPr>
        <w:pStyle w:val="ListParagraph"/>
        <w:numPr>
          <w:ilvl w:val="0"/>
          <w:numId w:val="2"/>
        </w:numPr>
        <w:spacing w:after="80"/>
      </w:pPr>
      <w:r>
        <w:t>Implement SVD computation with Tracy-Widom thresholding</w:t>
      </w:r>
    </w:p>
    <w:p w14:paraId="16E08319" w14:textId="77777777" w:rsidR="00B53433" w:rsidRDefault="00000000">
      <w:pPr>
        <w:pStyle w:val="ListParagraph"/>
        <w:numPr>
          <w:ilvl w:val="0"/>
          <w:numId w:val="2"/>
        </w:numPr>
        <w:spacing w:after="80"/>
      </w:pPr>
      <w:r>
        <w:t>Implement ablation variants</w:t>
      </w:r>
    </w:p>
    <w:p w14:paraId="3E120882" w14:textId="77777777" w:rsidR="00B53433" w:rsidRDefault="00000000">
      <w:pPr>
        <w:pStyle w:val="Heading3"/>
      </w:pPr>
      <w:r>
        <w:t>Track C: Baselines</w:t>
      </w:r>
    </w:p>
    <w:p w14:paraId="54DD466E" w14:textId="77777777" w:rsidR="00B53433" w:rsidRDefault="00000000">
      <w:pPr>
        <w:pStyle w:val="ListParagraph"/>
        <w:numPr>
          <w:ilvl w:val="0"/>
          <w:numId w:val="2"/>
        </w:numPr>
        <w:spacing w:after="80"/>
      </w:pPr>
      <w:r>
        <w:lastRenderedPageBreak/>
        <w:t>Set up and run all Tier 1 defenses (5 methods)</w:t>
      </w:r>
    </w:p>
    <w:p w14:paraId="47E3D6AF" w14:textId="77777777" w:rsidR="00B53433" w:rsidRDefault="00000000">
      <w:pPr>
        <w:pStyle w:val="ListParagraph"/>
        <w:numPr>
          <w:ilvl w:val="0"/>
          <w:numId w:val="2"/>
        </w:numPr>
        <w:spacing w:after="80"/>
      </w:pPr>
      <w:r>
        <w:t>Adapt Tier 2 methods (Spectral Signatures, DIRE, frequency forensics)</w:t>
      </w:r>
    </w:p>
    <w:p w14:paraId="0AAFC08F" w14:textId="77777777" w:rsidR="00B53433" w:rsidRDefault="00000000">
      <w:pPr>
        <w:pStyle w:val="Heading3"/>
      </w:pPr>
      <w:r>
        <w:t>Track D: Evaluation &amp; Writing</w:t>
      </w:r>
    </w:p>
    <w:p w14:paraId="137ADE48" w14:textId="77777777" w:rsidR="00B53433" w:rsidRDefault="00000000">
      <w:pPr>
        <w:pStyle w:val="ListParagraph"/>
        <w:numPr>
          <w:ilvl w:val="0"/>
          <w:numId w:val="2"/>
        </w:numPr>
        <w:spacing w:after="80"/>
      </w:pPr>
      <w:r>
        <w:t>Compute metrics across all models</w:t>
      </w:r>
    </w:p>
    <w:p w14:paraId="6BAE29B3" w14:textId="77777777" w:rsidR="00B53433" w:rsidRDefault="00000000">
      <w:pPr>
        <w:pStyle w:val="ListParagraph"/>
        <w:numPr>
          <w:ilvl w:val="0"/>
          <w:numId w:val="2"/>
        </w:numPr>
        <w:spacing w:after="80"/>
      </w:pPr>
      <w:r>
        <w:t>Generate plots and tables</w:t>
      </w:r>
    </w:p>
    <w:p w14:paraId="1382A50D" w14:textId="77777777" w:rsidR="00B53433" w:rsidRDefault="00000000">
      <w:pPr>
        <w:pStyle w:val="ListParagraph"/>
        <w:numPr>
          <w:ilvl w:val="0"/>
          <w:numId w:val="2"/>
        </w:numPr>
        <w:spacing w:after="80"/>
      </w:pPr>
      <w:r>
        <w:t>Draft paper sections</w:t>
      </w:r>
    </w:p>
    <w:p w14:paraId="1602A24A" w14:textId="77777777" w:rsidR="00B53433" w:rsidRDefault="00000000">
      <w:pPr>
        <w:pStyle w:val="Heading1"/>
      </w:pPr>
      <w:r>
        <w:t>9. Risk Management</w:t>
      </w:r>
    </w:p>
    <w:p w14:paraId="7E18BE0E" w14:textId="77777777" w:rsidR="00B53433" w:rsidRDefault="00000000">
      <w:pPr>
        <w:pStyle w:val="Heading2"/>
      </w:pPr>
      <w:r>
        <w:t>Scientific risks</w:t>
      </w:r>
    </w:p>
    <w:p w14:paraId="164022BD" w14:textId="77777777" w:rsidR="00B53433" w:rsidRDefault="00000000">
      <w:pPr>
        <w:pStyle w:val="ListParagraph"/>
        <w:numPr>
          <w:ilvl w:val="0"/>
          <w:numId w:val="2"/>
        </w:numPr>
        <w:spacing w:after="80"/>
      </w:pPr>
      <w:r>
        <w:t>Pilot fails: Pivot to bispectrum approach (Candidate A) or inflation factor (Candidate C)</w:t>
      </w:r>
    </w:p>
    <w:p w14:paraId="358165AE" w14:textId="77777777" w:rsidR="00B53433" w:rsidRDefault="00000000">
      <w:pPr>
        <w:pStyle w:val="ListParagraph"/>
        <w:numPr>
          <w:ilvl w:val="0"/>
          <w:numId w:val="2"/>
        </w:numPr>
        <w:spacing w:after="80"/>
      </w:pPr>
      <w:r>
        <w:t>Adaptive attacks defeat method: Frame as fundamental tradeoff; attacker pays cost in attack success</w:t>
      </w:r>
    </w:p>
    <w:p w14:paraId="4026A6D1" w14:textId="77777777" w:rsidR="00B53433" w:rsidRDefault="00000000">
      <w:pPr>
        <w:pStyle w:val="ListParagraph"/>
        <w:numPr>
          <w:ilvl w:val="0"/>
          <w:numId w:val="2"/>
        </w:numPr>
        <w:spacing w:after="80"/>
      </w:pPr>
      <w:r>
        <w:t>Method works on Silent Branding but doesn't generalize: Narrow paper scope to "branding-style trigger-free attacks"</w:t>
      </w:r>
    </w:p>
    <w:p w14:paraId="25DA7B44" w14:textId="77777777" w:rsidR="00B53433" w:rsidRDefault="00000000">
      <w:pPr>
        <w:pStyle w:val="Heading2"/>
      </w:pPr>
      <w:r>
        <w:t>Timing risks</w:t>
      </w:r>
    </w:p>
    <w:p w14:paraId="49B7A34A" w14:textId="77777777" w:rsidR="00B53433" w:rsidRDefault="00000000">
      <w:pPr>
        <w:pStyle w:val="ListParagraph"/>
        <w:numPr>
          <w:ilvl w:val="0"/>
          <w:numId w:val="2"/>
        </w:numPr>
        <w:spacing w:after="80"/>
      </w:pPr>
      <w:r>
        <w:t>Concurrent work by SEMAD authors (Google): Possible follow-up automating their diagnostics</w:t>
      </w:r>
    </w:p>
    <w:p w14:paraId="25002194" w14:textId="77777777" w:rsidR="00B53433" w:rsidRDefault="00000000">
      <w:pPr>
        <w:pStyle w:val="ListParagraph"/>
        <w:numPr>
          <w:ilvl w:val="0"/>
          <w:numId w:val="2"/>
        </w:numPr>
        <w:spacing w:after="80"/>
      </w:pPr>
      <w:r>
        <w:t>Other groups (KAIST, UChicago, PKU-ML) likely working on defenses</w:t>
      </w:r>
    </w:p>
    <w:p w14:paraId="1115007D" w14:textId="77777777" w:rsidR="00B53433" w:rsidRDefault="00000000">
      <w:pPr>
        <w:pStyle w:val="Heading2"/>
      </w:pPr>
      <w:r>
        <w:t>Venue risks</w:t>
      </w:r>
    </w:p>
    <w:p w14:paraId="6DC06717" w14:textId="77777777" w:rsidR="00B53433" w:rsidRDefault="00000000">
      <w:pPr>
        <w:pStyle w:val="ListParagraph"/>
        <w:numPr>
          <w:ilvl w:val="0"/>
          <w:numId w:val="2"/>
        </w:numPr>
        <w:spacing w:after="80"/>
      </w:pPr>
      <w:r>
        <w:t>If CVPR/NeurIPS reject: backup is WACV, BMVC, USENIX Security</w:t>
      </w:r>
    </w:p>
    <w:p w14:paraId="093FD997" w14:textId="77777777" w:rsidR="00B53433" w:rsidRDefault="00000000">
      <w:pPr>
        <w:pStyle w:val="ListParagraph"/>
        <w:numPr>
          <w:ilvl w:val="0"/>
          <w:numId w:val="2"/>
        </w:numPr>
        <w:spacing w:after="80"/>
      </w:pPr>
      <w:r>
        <w:t>Workshop as safety net: NeurIPS SafeGenAI or ICLR TrustML workshops</w:t>
      </w:r>
    </w:p>
    <w:p w14:paraId="718B2F79" w14:textId="77777777" w:rsidR="00B53433" w:rsidRDefault="00000000">
      <w:pPr>
        <w:pStyle w:val="Heading1"/>
      </w:pPr>
      <w:r>
        <w:t>10. Key References to Read First</w:t>
      </w:r>
    </w:p>
    <w:p w14:paraId="03A928F3" w14:textId="77777777" w:rsidR="00B53433" w:rsidRDefault="00000000">
      <w:pPr>
        <w:spacing w:after="120"/>
      </w:pPr>
      <w:r>
        <w:t>Order of priority for team reading:</w:t>
      </w:r>
    </w:p>
    <w:p w14:paraId="0B94ACA6" w14:textId="77777777" w:rsidR="00B53433" w:rsidRDefault="00000000">
      <w:pPr>
        <w:pStyle w:val="ListParagraph"/>
        <w:numPr>
          <w:ilvl w:val="0"/>
          <w:numId w:val="3"/>
        </w:numPr>
        <w:spacing w:after="80"/>
      </w:pPr>
      <w:r>
        <w:t>Silent Branding (Jang et al., CVPR 2025), the attack we target</w:t>
      </w:r>
    </w:p>
    <w:p w14:paraId="61B022E3" w14:textId="77777777" w:rsidR="00B53433" w:rsidRDefault="00000000">
      <w:pPr>
        <w:pStyle w:val="ListParagraph"/>
        <w:numPr>
          <w:ilvl w:val="0"/>
          <w:numId w:val="3"/>
        </w:numPr>
        <w:spacing w:after="80"/>
      </w:pPr>
      <w:r>
        <w:t>SEMAD (Chen &amp; Zhu, arXiv 2602.20193), theoretical foundation</w:t>
      </w:r>
    </w:p>
    <w:p w14:paraId="3D373C5A" w14:textId="77777777" w:rsidR="00B53433" w:rsidRDefault="00000000">
      <w:pPr>
        <w:pStyle w:val="ListParagraph"/>
        <w:numPr>
          <w:ilvl w:val="0"/>
          <w:numId w:val="3"/>
        </w:numPr>
        <w:spacing w:after="80"/>
      </w:pPr>
      <w:r>
        <w:t>Flynn &amp; Granziol (arXiv 2505.15175), RMT framework</w:t>
      </w:r>
    </w:p>
    <w:p w14:paraId="0B131307" w14:textId="77777777" w:rsidR="00B53433" w:rsidRDefault="00000000">
      <w:pPr>
        <w:pStyle w:val="ListParagraph"/>
        <w:numPr>
          <w:ilvl w:val="0"/>
          <w:numId w:val="3"/>
        </w:numPr>
        <w:spacing w:after="80"/>
      </w:pPr>
      <w:r>
        <w:t>BackdoorDM (Lin et al., NeurIPS 2025), evaluation standards</w:t>
      </w:r>
    </w:p>
    <w:p w14:paraId="75CDAE35" w14:textId="77777777" w:rsidR="00B53433" w:rsidRDefault="00000000">
      <w:pPr>
        <w:pStyle w:val="ListParagraph"/>
        <w:numPr>
          <w:ilvl w:val="0"/>
          <w:numId w:val="3"/>
        </w:numPr>
        <w:spacing w:after="80"/>
      </w:pPr>
      <w:r>
        <w:t>Spectral Signatures (Tran, Li, Madry, NeurIPS 2018), closest predecessor</w:t>
      </w:r>
    </w:p>
    <w:p w14:paraId="6EA13012" w14:textId="77777777" w:rsidR="00B53433" w:rsidRDefault="00000000">
      <w:pPr>
        <w:pStyle w:val="ListParagraph"/>
        <w:numPr>
          <w:ilvl w:val="0"/>
          <w:numId w:val="3"/>
        </w:numPr>
        <w:spacing w:after="80"/>
      </w:pPr>
      <w:r>
        <w:t>T2IShield (Wang et al., ECCV 2024), primary baseline to beat</w:t>
      </w:r>
    </w:p>
    <w:p w14:paraId="38BE164E" w14:textId="77777777" w:rsidR="00B53433" w:rsidRDefault="00000000">
      <w:pPr>
        <w:pStyle w:val="ListParagraph"/>
        <w:numPr>
          <w:ilvl w:val="0"/>
          <w:numId w:val="3"/>
        </w:numPr>
        <w:spacing w:after="80"/>
      </w:pPr>
      <w:r>
        <w:t>PRNU paper (Chen, Fridrich, Goljan, Lukáš, IEEE TIFS 2008), residual extraction</w:t>
      </w:r>
    </w:p>
    <w:p w14:paraId="0A000001" w14:textId="77777777" w:rsidR="00B53433" w:rsidRDefault="00000000">
      <w:pPr>
        <w:pStyle w:val="Heading1"/>
      </w:pPr>
      <w:r>
        <w:t>11. Thoughts and Limitations</w:t>
      </w:r>
    </w:p>
    <w:p w14:paraId="0A000002" w14:textId="77777777" w:rsidR="00B53433" w:rsidRDefault="00000000">
      <w:pPr>
        <w:spacing w:after="120"/>
      </w:pPr>
      <w:r>
        <w:t>This section documents known risks, open assumptions, and honest limitations of the proposed method. These must be addressed before any submission.</w:t>
      </w:r>
    </w:p>
    <w:p w14:paraId="0A000003" w14:textId="77777777" w:rsidR="00B53433" w:rsidRDefault="00000000">
      <w:pPr>
        <w:pStyle w:val="Heading2"/>
      </w:pPr>
      <w:r>
        <w:lastRenderedPageBreak/>
        <w:t>11.1 The i.i.d. assumption is violated</w:t>
      </w:r>
    </w:p>
    <w:p w14:paraId="0A000004" w14:textId="2A2C49C2" w:rsidR="00B53433" w:rsidRDefault="00F639DF">
      <w:pPr>
        <w:spacing w:after="120"/>
      </w:pPr>
      <w:r>
        <w:rPr>
          <w:b/>
          <w:bCs/>
        </w:rPr>
        <w:t xml:space="preserve">My main concern. </w:t>
      </w:r>
      <w:r>
        <w:t>Tracy-Widom thresholds assume the data matrix has approximately i.i.d. entries following a spiked covariance model. Diffusion model outputs are highly correlated. The VAE decoder in SDXL uses fixed upsampling layers (nearest-neighbor or bilinear interpolation at 8× spatial expansion) that produce spectral artifacts at specific frequencies across all generated images. Other further processes add even more artifacts, which could potentially be flagged as residue.</w:t>
      </w:r>
    </w:p>
    <w:p w14:paraId="0A000005" w14:textId="0FA4502F" w:rsidR="00B53433" w:rsidRDefault="00000000">
      <w:pPr>
        <w:spacing w:after="120"/>
      </w:pPr>
      <w:r>
        <w:rPr>
          <w:b/>
          <w:bCs/>
        </w:rPr>
        <w:t xml:space="preserve">What this means: </w:t>
      </w:r>
      <w:r>
        <w:t>After BM3D denoising, the residuals, at least in theory, should retain strong spatial structure from these model-level artifacts. The bulk eigenvalue distribution will likely not follow Marchenko-Pastur. The Tracy-Widom threshold will therefore be miscalibrated (in either direction). It may flag clean models as poisoned (if bulk eigenvalues are inflated by model artifacts) or miss poisoned models (if the threshold is set too high).</w:t>
      </w:r>
    </w:p>
    <w:p w14:paraId="0A000006" w14:textId="72E26B65" w:rsidR="00B53433" w:rsidRDefault="00F639DF">
      <w:pPr>
        <w:spacing w:after="120"/>
      </w:pPr>
      <w:r>
        <w:rPr>
          <w:b/>
          <w:bCs/>
        </w:rPr>
        <w:t xml:space="preserve">Fix: </w:t>
      </w:r>
      <w:r>
        <w:t>We must empirically validate whether the bulk eigenvalue distribution is well-behaved enough for Tracy-Widom to be useful. If not, we fall back to empirical calibration: bootstrap the threshold from clean model outputs. This is still a common structure. It is how TVLA thresholds are calibrated in practice, but it weakens our “theoretically grounded” claim.</w:t>
      </w:r>
    </w:p>
    <w:p w14:paraId="0B000001" w14:textId="77777777" w:rsidR="00B53433" w:rsidRDefault="00000000">
      <w:pPr>
        <w:pBdr>
          <w:left w:val="single" w:sz="24" w:space="8" w:color="C45911"/>
        </w:pBdr>
        <w:spacing w:before="120" w:after="60"/>
        <w:ind w:left="240"/>
      </w:pPr>
      <w:r>
        <w:rPr>
          <w:b/>
          <w:bCs/>
          <w:color w:val="C45911"/>
        </w:rPr>
        <w:t>→ Proposed Resolution</w:t>
      </w:r>
    </w:p>
    <w:p w14:paraId="0B000002" w14:textId="77777777" w:rsidR="00B53433" w:rsidRDefault="00000000">
      <w:pPr>
        <w:pBdr>
          <w:left w:val="single" w:sz="24" w:space="8" w:color="C45911"/>
        </w:pBdr>
        <w:spacing w:after="100"/>
        <w:ind w:left="240"/>
      </w:pPr>
      <w:r>
        <w:rPr>
          <w:i/>
          <w:iCs/>
          <w:color w:val="833C0C"/>
        </w:rPr>
        <w:t>Solvable through experimental design. The fix is empirical bootstrap calibration: generate residuals from many clean models, sample many subsets, compute the empirical distribution of the largest singular value under the null, and use the 99th percentile as the threshold. This is exactly how TVLA calibrates its |t| &gt; 4.5 in practice. We lose the “closed-form theoretical threshold” framing, but we keep the spectral-detection contribution intact.</w:t>
      </w:r>
    </w:p>
    <w:p w14:paraId="0B000003" w14:textId="77777777" w:rsidR="00B53433" w:rsidRDefault="00000000">
      <w:pPr>
        <w:pBdr>
          <w:left w:val="single" w:sz="24" w:space="8" w:color="C45911"/>
        </w:pBdr>
        <w:spacing w:after="100"/>
        <w:ind w:left="240"/>
      </w:pPr>
      <w:r>
        <w:rPr>
          <w:i/>
          <w:iCs/>
          <w:color w:val="833C0C"/>
        </w:rPr>
        <w:t>Stronger fallback: recent extensions of Tracy-Widom theory to correlated entries (Bao, Pan, Zhou and others) provide adjusted thresholds for non-i.i.d. data. We can cite this work to argue that closed-form thresholds remain achievable in principle, while using bootstrap calibration in practice. This preserves both honesty and theoretical aspiration.</w:t>
      </w:r>
    </w:p>
    <w:p w14:paraId="0B000004" w14:textId="77777777" w:rsidR="00B53433" w:rsidRDefault="00000000">
      <w:pPr>
        <w:pBdr>
          <w:left w:val="single" w:sz="24" w:space="8" w:color="C45911"/>
        </w:pBdr>
        <w:spacing w:after="180"/>
        <w:ind w:left="240"/>
      </w:pPr>
      <w:r>
        <w:rPr>
          <w:i/>
          <w:iCs/>
          <w:color w:val="833C0C"/>
        </w:rPr>
        <w:t>Action item: Phase 1 of the experimental plan adds a step to plot the empirical eigenvalue distribution of clean SDXL residuals and check Marchenko-Pastur fit before deciding between theoretical and bootstrap thresholds.</w:t>
      </w:r>
    </w:p>
    <w:p w14:paraId="0A000010" w14:textId="77777777" w:rsidR="00B53433" w:rsidRDefault="00000000">
      <w:pPr>
        <w:pStyle w:val="Heading2"/>
      </w:pPr>
      <w:r>
        <w:t>11.2 The reference-free claim requires qualification</w:t>
      </w:r>
    </w:p>
    <w:p w14:paraId="0A000011" w14:textId="40DD35BD" w:rsidR="00B53433" w:rsidRDefault="00000000">
      <w:pPr>
        <w:spacing w:after="120"/>
      </w:pPr>
      <w:r>
        <w:rPr>
          <w:b/>
          <w:bCs/>
        </w:rPr>
        <w:t xml:space="preserve">The problem. </w:t>
      </w:r>
      <w:r>
        <w:t>Every diffusion model, clean or poisoned, has consistent structure in its outputs. The VAE decoder artifacts, denoising schedule artifacts, and architecture-specific spectral fingerprints are well-documented (Corvi et al., ICASSP 2023). These are low-rank consistent signals across the population of generated images. They will produce eigenvalue spikes above the Tracy-Widom threshold even for a perfectly clean model. The detector, as described, would flag every model as poisoned. The reference-free framing as stated wouldn’t hold.</w:t>
      </w:r>
    </w:p>
    <w:p w14:paraId="0A000012" w14:textId="579CE51A" w:rsidR="00B53433" w:rsidRDefault="00000000">
      <w:pPr>
        <w:spacing w:after="120"/>
      </w:pPr>
      <w:r>
        <w:rPr>
          <w:b/>
          <w:bCs/>
        </w:rPr>
        <w:t xml:space="preserve">How we categorize this in the paper. </w:t>
      </w:r>
      <w:r>
        <w:t>We have to frame this as requires two detection tiers:</w:t>
      </w:r>
    </w:p>
    <w:p w14:paraId="0A000013" w14:textId="5A5F2C92" w:rsidR="00B53433" w:rsidRDefault="00000000">
      <w:pPr>
        <w:spacing w:after="120"/>
      </w:pPr>
      <w:r>
        <w:rPr>
          <w:b/>
          <w:bCs/>
        </w:rPr>
        <w:t xml:space="preserve">Tier A (practical and achievable): </w:t>
      </w:r>
      <w:r>
        <w:t>The user downloads a model that claims to be SDXL, or a known finetuned variant of SDXL. In this case, a reference model exists, as the base SDXL checkpoint is publicly available on HuggingFace. We compute the eigenvalue spectrum of the suspect model’s residuals, subtract the base model’s eigenvalue profile, and test whether the residual difference contains an anomalous spike. This is our “reference-light” detection: we would need a base checkpoint, but not a clean-finetuned copy of the exact same dataset. This covers the most common real-world scenario: someone downloads a community-finetuned model and wants to validate it before use.</w:t>
      </w:r>
    </w:p>
    <w:p w14:paraId="0A000014" w14:textId="0BDCF926" w:rsidR="00B53433" w:rsidRDefault="00000000">
      <w:pPr>
        <w:spacing w:after="120"/>
      </w:pPr>
      <w:r>
        <w:rPr>
          <w:b/>
          <w:bCs/>
        </w:rPr>
        <w:t xml:space="preserve">Tier B (a reach): </w:t>
      </w:r>
      <w:r>
        <w:t>The user has a model of completely unknown lineage and training (unknown base architecture, unknown finetuning data, unknown training procedure). Detecting poisoning here without any reference is a much harder problem. The honest answer is that our method probably cannot do this reliably with Tracy-Widom alone, because we cannot separate model-inherent artifacts from poisoning artifacts without knowing the baseline.</w:t>
      </w:r>
    </w:p>
    <w:p w14:paraId="0A000015" w14:textId="2553AD93" w:rsidR="00B53433" w:rsidRDefault="00000000">
      <w:pPr>
        <w:spacing w:after="120"/>
      </w:pPr>
      <w:r>
        <w:rPr>
          <w:b/>
          <w:bCs/>
        </w:rPr>
        <w:t xml:space="preserve">Tier A is still sufficient for a strong paper: </w:t>
      </w:r>
      <w:r>
        <w:t xml:space="preserve">The trigger-free defense gap exists regardless of whether the method is reference-free or reference-light. No existing defense works against Silent Branding at all. If we demonstrate reliable detection in the Tier A setting (with AUROC ≥ 0.90, proper baselines, ablations, and an adaptive attack analysis) that is a complete contribution. The reference-free aspiration is a future direction or limitation that we can address in the paper. If experiments and baseline comparisons yield strong results in Tier A, the paper stands. If we additionally show partial success in Tier B through empirical threshold calibration, that strengthens the contribution further. Either way, a workshop paper </w:t>
        <w:lastRenderedPageBreak/>
        <w:t>is essentially guaranteed if the pilot succeeds, and a main conference paper is realistic given thorough experiments.</w:t>
      </w:r>
    </w:p>
    <w:p w14:paraId="0B000010" w14:textId="77777777" w:rsidR="00B53433" w:rsidRDefault="00000000">
      <w:pPr>
        <w:pBdr>
          <w:left w:val="single" w:sz="24" w:space="8" w:color="C45911"/>
        </w:pBdr>
        <w:spacing w:before="120" w:after="60"/>
        <w:ind w:left="240"/>
      </w:pPr>
      <w:r>
        <w:rPr>
          <w:b/>
          <w:bCs/>
          <w:color w:val="C45911"/>
        </w:rPr>
        <w:t>→ Proposed Resolution</w:t>
      </w:r>
    </w:p>
    <w:p w14:paraId="0B000011" w14:textId="77777777" w:rsidR="00B53433" w:rsidRDefault="00000000">
      <w:pPr>
        <w:pBdr>
          <w:left w:val="single" w:sz="24" w:space="8" w:color="C45911"/>
        </w:pBdr>
        <w:spacing w:after="100"/>
        <w:ind w:left="240"/>
      </w:pPr>
      <w:r>
        <w:rPr>
          <w:i/>
          <w:iCs/>
          <w:color w:val="833C0C"/>
        </w:rPr>
        <w:t>Solvable through reframing. The Tier A vs Tier B distinction is exactly the right move and we adopt it as the official scope of the paper.</w:t>
      </w:r>
    </w:p>
    <w:p w14:paraId="0B000012" w14:textId="77777777" w:rsidR="00B53433" w:rsidRDefault="00000000">
      <w:pPr>
        <w:pBdr>
          <w:left w:val="single" w:sz="24" w:space="8" w:color="C45911"/>
        </w:pBdr>
        <w:spacing w:after="100"/>
        <w:ind w:left="240"/>
      </w:pPr>
      <w:r>
        <w:rPr>
          <w:i/>
          <w:iCs/>
          <w:color w:val="833C0C"/>
        </w:rPr>
        <w:t>Updated contribution claim: “First detection method for trigger-free data poisoning in diffusion models, demonstrated in the practical scenario where the suspect model derives from a known base architecture (Tier A). We additionally provide preliminary results in the unknown-lineage setting (Tier B) and identify it as an important open problem.”</w:t>
      </w:r>
    </w:p>
    <w:p w14:paraId="0B000013" w14:textId="77777777" w:rsidR="00B53433" w:rsidRDefault="00000000">
      <w:pPr>
        <w:pBdr>
          <w:left w:val="single" w:sz="24" w:space="8" w:color="C45911"/>
        </w:pBdr>
        <w:spacing w:after="100"/>
        <w:ind w:left="240"/>
      </w:pPr>
      <w:r>
        <w:rPr>
          <w:i/>
          <w:iCs/>
          <w:color w:val="833C0C"/>
        </w:rPr>
        <w:t>Why this is actually stronger: Tier A is the realistic deployment scenario. Most poisoned models in the wild would be community fine-tunes of known base architectures (someone downloads “ArtisticSD-v2” claiming to be a finetuned SDXL and wants to validate it). The threat model becomes concrete, defensible, and useful, rather than abstract and aspirational.</w:t>
      </w:r>
    </w:p>
    <w:p w14:paraId="0B000014" w14:textId="77777777" w:rsidR="00B53433" w:rsidRDefault="00000000">
      <w:pPr>
        <w:pBdr>
          <w:left w:val="single" w:sz="24" w:space="8" w:color="C45911"/>
        </w:pBdr>
        <w:spacing w:after="180"/>
        <w:ind w:left="240"/>
      </w:pPr>
      <w:r>
        <w:rPr>
          <w:i/>
          <w:iCs/>
          <w:color w:val="833C0C"/>
        </w:rPr>
        <w:t>Action item: Update Section 2 (Methodology) to remove the unqualified “reference-free” framing. Replace with “reference-light” description: requires base checkpoint (publicly available) but not a clean-finetuned copy of the same dataset.</w:t>
      </w:r>
    </w:p>
    <w:p w14:paraId="0A000020" w14:textId="5D4C509D" w:rsidR="00B53433" w:rsidRDefault="00000000">
      <w:pPr>
        <w:pStyle w:val="Heading2"/>
      </w:pPr>
      <w:r>
        <w:t xml:space="preserve">11.3 Finetuning artifacts </w:t>
      </w:r>
    </w:p>
    <w:p w14:paraId="0A000021" w14:textId="1CAA5BA0" w:rsidR="00B53433" w:rsidRDefault="00000000">
      <w:pPr>
        <w:spacing w:after="120"/>
      </w:pPr>
      <w:r>
        <w:rPr>
          <w:b/>
          <w:bCs/>
        </w:rPr>
        <w:t xml:space="preserve">The risk (Tier B). </w:t>
      </w:r>
      <w:r>
        <w:t>Any model finetuned on a 200-image dataset will exhibit different residual covariance structure than the base SDXL checkpoint, regardless of whether the dataset is poisoned. Finetuning shifts model weights, which changes output statistics, so different texture distributions, different frequency profiles, different VAE reconstruction characteristics. If we compare suspect (finetuned-poisoned) against base SDXL, the eigenvalue difference may reflect finetuning rather than poisoning.</w:t>
      </w:r>
    </w:p>
    <w:p w14:paraId="0A000022" w14:textId="469A4341" w:rsidR="00B53433" w:rsidRDefault="00000000">
      <w:pPr>
        <w:spacing w:after="120"/>
      </w:pPr>
      <w:r>
        <w:rPr>
          <w:b/>
          <w:bCs/>
        </w:rPr>
        <w:t xml:space="preserve">What this means: </w:t>
      </w:r>
      <w:r>
        <w:t>The detector could learn “this model was finetuned” rather than “this model is poisoned.” This is the most dangerous issue in the experimental design.</w:t>
      </w:r>
    </w:p>
    <w:p w14:paraId="0A000023" w14:textId="18FAA4BE" w:rsidR="00B53433" w:rsidRDefault="00E63A3C">
      <w:pPr>
        <w:spacing w:after="120"/>
      </w:pPr>
      <w:r>
        <w:rPr>
          <w:b/>
          <w:bCs/>
        </w:rPr>
        <w:t xml:space="preserve">What *would* be required: </w:t>
      </w:r>
      <w:r>
        <w:t>We must include a clean-finetuned SDXL model, trained on the clean subset of the same dataset, using the same hyperparameters, as an explicit control. The detection signal must survive the comparison between clean-finetuned and poisoned-finetuned models.</w:t>
      </w:r>
    </w:p>
    <w:p w14:paraId="1D94F0F8" w14:textId="77777777" w:rsidR="00E63A3C" w:rsidRDefault="00E63A3C">
      <w:pPr>
        <w:spacing w:after="120"/>
      </w:pPr>
    </w:p>
    <w:p w14:paraId="26A9581D" w14:textId="5B252DD0" w:rsidR="00E63A3C" w:rsidRDefault="00E63A3C">
      <w:pPr>
        <w:spacing w:after="120"/>
      </w:pPr>
      <w:r>
        <w:t>For Tier A: this doesn’t matter. We are assuming the model the user wants to download isn’t novel. Its very similar or identical to regular base SDXL.</w:t>
      </w:r>
    </w:p>
    <w:p w14:paraId="0B000020" w14:textId="77777777" w:rsidR="00B53433" w:rsidRDefault="00000000">
      <w:pPr>
        <w:pBdr>
          <w:left w:val="single" w:sz="24" w:space="8" w:color="C45911"/>
        </w:pBdr>
        <w:spacing w:before="120" w:after="60"/>
        <w:ind w:left="240"/>
      </w:pPr>
      <w:r>
        <w:rPr>
          <w:b/>
          <w:bCs/>
          <w:color w:val="C45911"/>
        </w:rPr>
        <w:t>→ Proposed Resolution</w:t>
      </w:r>
    </w:p>
    <w:p w14:paraId="0B000021" w14:textId="77777777" w:rsidR="00B53433" w:rsidRDefault="00000000">
      <w:pPr>
        <w:pBdr>
          <w:left w:val="single" w:sz="24" w:space="8" w:color="C45911"/>
        </w:pBdr>
        <w:spacing w:after="100"/>
        <w:ind w:left="240"/>
      </w:pPr>
      <w:r>
        <w:rPr>
          <w:i/>
          <w:iCs/>
          <w:color w:val="833C0C"/>
        </w:rPr>
        <w:t>Solvable through experimental design. This is a critical experimental hygiene fix that we adopt without question.</w:t>
      </w:r>
    </w:p>
    <w:p w14:paraId="0B000022" w14:textId="77777777" w:rsidR="00B53433" w:rsidRDefault="00000000">
      <w:pPr>
        <w:pBdr>
          <w:left w:val="single" w:sz="24" w:space="8" w:color="C45911"/>
        </w:pBdr>
        <w:spacing w:after="100"/>
        <w:ind w:left="240"/>
      </w:pPr>
      <w:r>
        <w:rPr>
          <w:i/>
          <w:iCs/>
          <w:color w:val="833C0C"/>
        </w:rPr>
        <w:t>Required experimental control: For every poisoned model we train, we must also train a clean-finetuned counterpart on the same dataset minus the poisoned samples, using identical hyperparameters and training duration. The detection signal must survive the comparison between clean-finetuned and poisoned-finetuned models, not just clean-base vs poisoned-finetuned.</w:t>
      </w:r>
    </w:p>
    <w:p w14:paraId="0B000023" w14:textId="77777777" w:rsidR="00B53433" w:rsidRDefault="00000000">
      <w:pPr>
        <w:pBdr>
          <w:left w:val="single" w:sz="24" w:space="8" w:color="C45911"/>
        </w:pBdr>
        <w:spacing w:after="100"/>
        <w:ind w:left="240"/>
      </w:pPr>
      <w:r>
        <w:rPr>
          <w:i/>
          <w:iCs/>
          <w:color w:val="833C0C"/>
        </w:rPr>
        <w:t>Cost: roughly doubles the model training count in Phase 2. This is non-negotiable. Without these controls, reviewers will identify the experimental design hole immediately and reject.</w:t>
      </w:r>
    </w:p>
    <w:p w14:paraId="0B000024" w14:textId="77777777" w:rsidR="00B53433" w:rsidRDefault="00000000">
      <w:pPr>
        <w:pBdr>
          <w:left w:val="single" w:sz="24" w:space="8" w:color="C45911"/>
        </w:pBdr>
        <w:spacing w:after="180"/>
        <w:ind w:left="240"/>
      </w:pPr>
      <w:r>
        <w:rPr>
          <w:i/>
          <w:iCs/>
          <w:color w:val="833C0C"/>
        </w:rPr>
        <w:t>Action item: Update Phase 2 of the experimental plan. For each Silent Branding variant trained, train a matched clean-finetuned control. Comparison metric becomes: AUROC for clean-finetuned vs poisoned-finetuned (not clean-base vs poisoned-finetuned).</w:t>
      </w:r>
    </w:p>
    <w:p w14:paraId="0A000030" w14:textId="5B155AE1" w:rsidR="00B53433" w:rsidRDefault="00000000">
      <w:pPr>
        <w:pStyle w:val="Heading2"/>
      </w:pPr>
      <w:r>
        <w:t xml:space="preserve">11.4 Dataset distribution </w:t>
      </w:r>
    </w:p>
    <w:p w14:paraId="0A000031" w14:textId="77777777" w:rsidR="00B53433" w:rsidRDefault="00000000">
      <w:pPr>
        <w:spacing w:after="120"/>
      </w:pPr>
      <w:r>
        <w:rPr>
          <w:b/>
          <w:bCs/>
        </w:rPr>
        <w:t xml:space="preserve">The risk. </w:t>
      </w:r>
      <w:r>
        <w:t>Different training datasets produce different spectral profiles even without poisoning. A model finetuned on anime artwork will have fundamentally different residual covariance structure than one finetuned on photorealistic portraits. If the detector’s eigenvalue threshold is calibrated on models finetuned on one distribution, it may produce false positives or negatives on models finetuned on other distributions.</w:t>
      </w:r>
    </w:p>
    <w:p w14:paraId="0A000032" w14:textId="77777777" w:rsidR="00B53433" w:rsidRDefault="00000000">
      <w:pPr>
        <w:spacing w:after="120"/>
      </w:pPr>
      <w:r>
        <w:rPr>
          <w:b/>
          <w:bCs/>
        </w:rPr>
        <w:t xml:space="preserve">Required experiment: </w:t>
      </w:r>
      <w:r>
        <w:t>Train clean and poisoned models on at least 2–3 different base datasets (e.g., LAION subset, Midjourney, Tarot) and verify that detection performance holds across them.</w:t>
      </w:r>
    </w:p>
    <w:p w14:paraId="0B000030" w14:textId="77777777" w:rsidR="00B53433" w:rsidRDefault="00000000">
      <w:pPr>
        <w:pBdr>
          <w:left w:val="single" w:sz="24" w:space="8" w:color="C45911"/>
        </w:pBdr>
        <w:spacing w:before="120" w:after="60"/>
        <w:ind w:left="240"/>
      </w:pPr>
      <w:r>
        <w:rPr>
          <w:b/>
          <w:bCs/>
          <w:color w:val="C45911"/>
        </w:rPr>
        <w:t>→ Proposed Resolution</w:t>
      </w:r>
    </w:p>
    <w:p w14:paraId="0B000031" w14:textId="77777777" w:rsidR="00B53433" w:rsidRDefault="00000000">
      <w:pPr>
        <w:pBdr>
          <w:left w:val="single" w:sz="24" w:space="8" w:color="C45911"/>
        </w:pBdr>
        <w:spacing w:after="100"/>
        <w:ind w:left="240"/>
      </w:pPr>
      <w:r>
        <w:rPr>
          <w:i/>
          <w:iCs/>
          <w:color w:val="833C0C"/>
        </w:rPr>
        <w:t>Solvable through experimental design. The fix is straightforward: include 2-3 different training datasets in Phase 4 of the experimental plan.</w:t>
      </w:r>
    </w:p>
    <w:p w14:paraId="0B000032" w14:textId="77777777" w:rsidR="00B53433" w:rsidRDefault="00000000">
      <w:pPr>
        <w:pBdr>
          <w:left w:val="single" w:sz="24" w:space="8" w:color="C45911"/>
        </w:pBdr>
        <w:spacing w:after="100"/>
        <w:ind w:left="240"/>
      </w:pPr>
      <w:r>
        <w:rPr>
          <w:i/>
          <w:iCs/>
          <w:color w:val="833C0C"/>
        </w:rPr>
        <w:t>Concrete plan: Train clean+poisoned model pairs on (a) LAION-Aesthetics subset, (b) Midjourney v6 subset, (c) Tarot dataset. Compute detection AUROC on each. Report whether the threshold transfers across datasets or requires per-dataset calibration.</w:t>
      </w:r>
    </w:p>
    <w:p w14:paraId="0B000033" w14:textId="77777777" w:rsidR="00B53433" w:rsidRDefault="00000000">
      <w:pPr>
        <w:pBdr>
          <w:left w:val="single" w:sz="24" w:space="8" w:color="C45911"/>
        </w:pBdr>
        <w:spacing w:after="180"/>
        <w:ind w:left="240"/>
      </w:pPr>
      <w:r>
        <w:rPr>
          <w:i/>
          <w:iCs/>
          <w:color w:val="833C0C"/>
        </w:rPr>
        <w:t>Action item: Already present as Phase 4 in experimental plan. Make explicit that we need clean-finetuned + poisoned-finetuned pairs on each of the 2-3 datasets (combining with concern 11.3 fix).</w:t>
      </w:r>
    </w:p>
    <w:p w14:paraId="0A000060" w14:textId="7CAABA9D" w:rsidR="00B53433" w:rsidRDefault="00000000">
      <w:pPr>
        <w:pStyle w:val="Heading2"/>
      </w:pPr>
      <w:r>
        <w:t>11.5 Residual extraction may not preserve the logo signal</w:t>
      </w:r>
    </w:p>
    <w:p w14:paraId="0A000061" w14:textId="77777777" w:rsidR="00B53433" w:rsidRDefault="00000000">
      <w:pPr>
        <w:spacing w:after="120"/>
      </w:pPr>
      <w:r>
        <w:rPr>
          <w:b/>
          <w:bCs/>
        </w:rPr>
        <w:t xml:space="preserve">The concern. </w:t>
      </w:r>
      <w:r>
        <w:t>BM3D and wavelet-based Wiener filters were designed to separate sensor noise (additive, stationary, content-independent) from scene content. This is why they work for PRNU fingerprinting: camera sensor noise is genuinely additive and stationary. Silent Branding logos are semantic, position-varying, and content-integrated via style-consistent inpainting. The logo is designed to blend with local textures, edges, and lighting. The denoiser may partially remove the logo along with the content, weakening or destroying the signal before we reach the SVD step.</w:t>
      </w:r>
    </w:p>
    <w:p w14:paraId="0A000062" w14:textId="77777777" w:rsidR="00B53433" w:rsidRDefault="00000000">
      <w:pPr>
        <w:spacing w:after="120"/>
      </w:pPr>
      <w:r>
        <w:rPr>
          <w:b/>
          <w:bCs/>
        </w:rPr>
        <w:t xml:space="preserve">Required ablation: </w:t>
      </w:r>
      <w:r>
        <w:t>Compare BM3D, wavelet Wiener filter, and DnCNN as residual extractors. Measure the eigenvalue gap (λ₁ poisoned − λ₁ clean) for each. If all three fail to preserve the signal, consider operating directly on raw pixel differences or on VAE latent representations instead.</w:t>
      </w:r>
    </w:p>
    <w:p w14:paraId="0B000040" w14:textId="77777777" w:rsidR="00B53433" w:rsidRDefault="00000000">
      <w:pPr>
        <w:pBdr>
          <w:left w:val="single" w:sz="24" w:space="8" w:color="C00000"/>
        </w:pBdr>
        <w:spacing w:before="120" w:after="60"/>
        <w:ind w:left="240"/>
      </w:pPr>
      <w:r>
        <w:rPr>
          <w:b/>
          <w:bCs/>
          <w:color w:val="C00000"/>
        </w:rPr>
        <w:t>→ Proposed Resolution (CRITICAL: this concern could kill the method)</w:t>
      </w:r>
    </w:p>
    <w:p w14:paraId="0B000041" w14:textId="77777777" w:rsidR="00B53433" w:rsidRDefault="00000000">
      <w:pPr>
        <w:pBdr>
          <w:left w:val="single" w:sz="24" w:space="8" w:color="C00000"/>
        </w:pBdr>
        <w:spacing w:after="100"/>
        <w:ind w:left="240"/>
      </w:pPr>
      <w:r>
        <w:rPr>
          <w:i/>
          <w:iCs/>
          <w:color w:val="833C0C"/>
        </w:rPr>
        <w:t>This is the only concern that could fundamentally invalidate the method. Unlike concerns 11.1-11.4, this one is not solvable through experimental design alone. Either the residual extractors preserve the logo signal or they do not. If they do not, we need a different signal extraction approach.</w:t>
      </w:r>
    </w:p>
    <w:p w14:paraId="0B000042" w14:textId="77777777" w:rsidR="00B53433" w:rsidRDefault="00000000">
      <w:pPr>
        <w:pBdr>
          <w:left w:val="single" w:sz="24" w:space="8" w:color="C00000"/>
        </w:pBdr>
        <w:spacing w:after="100"/>
        <w:ind w:left="240"/>
      </w:pPr>
      <w:r>
        <w:rPr>
          <w:b/>
          <w:bCs/>
          <w:color w:val="833C0C"/>
        </w:rPr>
        <w:t xml:space="preserve">Proposed first experiment (Phase 0, do this BEFORE anything else): </w:t>
      </w:r>
      <w:r>
        <w:rPr>
          <w:i/>
          <w:iCs/>
          <w:color w:val="833C0C"/>
        </w:rPr>
        <w:t>Visual inspection sanity check. Take a known poisoned model. Generate 10-20 images where we know the logo location. Run BM3D, wavelet, and DnCNN denoising on each. Subtract to get residuals. Visually inspect whether the logo is still visible in the residual. This single test costs almost nothing and resolves the biggest uncertainty in the project.</w:t>
      </w:r>
    </w:p>
    <w:p w14:paraId="0B000043" w14:textId="77777777" w:rsidR="00B53433" w:rsidRDefault="00000000">
      <w:pPr>
        <w:pBdr>
          <w:left w:val="single" w:sz="24" w:space="8" w:color="C00000"/>
        </w:pBdr>
        <w:spacing w:after="100"/>
        <w:ind w:left="240"/>
      </w:pPr>
      <w:r>
        <w:rPr>
          <w:i/>
          <w:iCs/>
          <w:color w:val="833C0C"/>
        </w:rPr>
        <w:t>Three possible outcomes: (a) Logo clearly visible in residuals: proceed with confidence, the method has a strong chance of working. (b) Logo faintly visible: proceed cautiously, may need signal amplification techniques. (c) Logo completely invisible: pivot residual extraction strategy before any spectral analysis.</w:t>
      </w:r>
    </w:p>
    <w:p w14:paraId="0B000044" w14:textId="77777777" w:rsidR="00B53433" w:rsidRDefault="00000000">
      <w:pPr>
        <w:pBdr>
          <w:left w:val="single" w:sz="24" w:space="8" w:color="C00000"/>
        </w:pBdr>
        <w:spacing w:after="100"/>
        <w:ind w:left="240"/>
      </w:pPr>
      <w:r>
        <w:rPr>
          <w:b/>
          <w:bCs/>
          <w:color w:val="833C0C"/>
        </w:rPr>
        <w:t xml:space="preserve">Fallback options if denoising fails to preserve the signal: </w:t>
      </w:r>
      <w:r>
        <w:rPr>
          <w:i/>
          <w:iCs/>
          <w:color w:val="833C0C"/>
        </w:rPr>
        <w:t>(1) Operate directly on raw pixel space (skip residual extraction entirely). (2) Operate in VAE latent space where the logo is encoded before pixel-level denoising can affect it. (3) Use difference between suspect-model and base-model outputs on identical prompts/seeds (model-level residual instead of image-level). (4) Switch to bispectrum-based detection which has different signal preservation characteristics.</w:t>
      </w:r>
    </w:p>
    <w:p w14:paraId="0B000045" w14:textId="77777777" w:rsidR="00B53433" w:rsidRDefault="00000000">
      <w:pPr>
        <w:pBdr>
          <w:left w:val="single" w:sz="24" w:space="8" w:color="C00000"/>
        </w:pBdr>
        <w:spacing w:after="180"/>
        <w:ind w:left="240"/>
      </w:pPr>
      <w:r>
        <w:rPr>
          <w:b/>
          <w:bCs/>
          <w:color w:val="833C0C"/>
        </w:rPr>
        <w:t xml:space="preserve">Action item (highest priority): </w:t>
      </w:r>
      <w:r>
        <w:rPr>
          <w:i/>
          <w:iCs/>
          <w:color w:val="833C0C"/>
        </w:rPr>
        <w:t>Add Phase 0 to the experimental plan: residual preservation visual inspection. Should be completed in week 1 before committing more resources. If Phase 0 succeeds, proceed with Phase 1 (pilot). If Phase 0 fails for all denoisers, halt and consider VAE latent space approach or methodology pivot.</w:t>
      </w:r>
    </w:p>
    <w:p w14:paraId="0A000080" w14:textId="77777777" w:rsidR="000F04F1" w:rsidRDefault="000F04F1" w:rsidP="000F04F1">
      <w:pPr>
        <w:spacing w:after="80"/>
      </w:pPr>
    </w:p>
    <w:p w14:paraId="50BD515D" w14:textId="65E2986F" w:rsidR="00B2683B" w:rsidRDefault="00B2683B" w:rsidP="00B2683B">
      <w:pPr>
        <w:pStyle w:val="Heading2"/>
      </w:pPr>
      <w:r>
        <w:t>11.6 Publishing Outlook</w:t>
      </w:r>
    </w:p>
    <w:p w14:paraId="3611B3DF" w14:textId="49E57683" w:rsidR="00B2683B" w:rsidRPr="00B2683B" w:rsidRDefault="00B2683B" w:rsidP="00B2683B">
      <w:pPr>
        <w:pStyle w:val="font-claude-response-body"/>
        <w:rPr>
          <w:rFonts w:ascii="Calibri" w:hAnsi="Calibri" w:cs="Calibri"/>
          <w:sz w:val="22"/>
          <w:szCs w:val="22"/>
        </w:rPr>
      </w:pPr>
      <w:r>
        <w:rPr>
          <w:rFonts w:ascii="Calibri" w:hAnsi="Calibri" w:cs="Calibri"/>
          <w:sz w:val="22"/>
          <w:szCs w:val="22"/>
        </w:rPr>
        <w:t xml:space="preserve">None of the above limitations are fatal. They are standard research risks for a first-in-class defense paper. The core contribution that trigger-free poisoning can be detected at all via spectral methods does </w:t>
        <w:lastRenderedPageBreak/>
        <w:t>not require every assumption to hold perfectly. It requires the pilot experiment to show a detectable eigenvalue gap between poisoned and clean models. If that gap exists, the rest is engineering and how we frame this in the paper.</w:t>
      </w:r>
    </w:p>
    <w:p w14:paraId="602E45C8" w14:textId="7424B021" w:rsidR="00B2683B" w:rsidRPr="00B2683B" w:rsidRDefault="00B2683B" w:rsidP="00B2683B">
      <w:pPr>
        <w:pStyle w:val="font-claude-response-body"/>
        <w:rPr>
          <w:rFonts w:ascii="Calibri" w:hAnsi="Calibri" w:cs="Calibri"/>
          <w:sz w:val="22"/>
          <w:szCs w:val="22"/>
        </w:rPr>
      </w:pPr>
      <w:r>
        <w:rPr>
          <w:rStyle w:val="Strong"/>
          <w:rFonts w:ascii="Calibri" w:hAnsi="Calibri" w:cs="Calibri"/>
          <w:sz w:val="22"/>
          <w:szCs w:val="22"/>
        </w:rPr>
        <w:t>Realistic plan.</w:t>
      </w:r>
      <w:r>
        <w:rPr>
          <w:rFonts w:ascii="Calibri" w:hAnsi="Calibri" w:cs="Calibri"/>
          <w:sz w:val="22"/>
          <w:szCs w:val="22"/>
        </w:rPr>
        <w:t xml:space="preserve"> The pilot determines everything. If we don’t get enough for a full paper: submit a 4-page workshop paper (NeurIPS 2026 SafeGenAI or ICLR 2027 TrustML, deadlines I believe August–September) covering at least the pilot results, Tier A detection, and population size ablation. If enough for a full paper: Target CVPR 2027 (deadline November) or ICLR 2027 (deadline October) for the full paper. If the pilot fails, the negative result itself that "spectral methods cannot detect Silent Branding even with N=10K" could still a workshop-level contribution that establishes detection difficulty bounds for trigger-free attacks. Either outcome advances the field. We just need to run the experiment.</w:t>
      </w:r>
    </w:p>
    <w:p w14:paraId="0B000050" w14:textId="77777777" w:rsidR="00B53433" w:rsidRDefault="00000000">
      <w:pPr>
        <w:pBdr>
          <w:left w:val="single" w:sz="24" w:space="8" w:color="C45911"/>
        </w:pBdr>
        <w:spacing w:before="120" w:after="60"/>
        <w:ind w:left="240"/>
      </w:pPr>
      <w:r>
        <w:rPr>
          <w:b/>
          <w:bCs/>
          <w:color w:val="C45911"/>
        </w:rPr>
        <w:t>→ Proposed Resolution</w:t>
      </w:r>
    </w:p>
    <w:p w14:paraId="0B000051" w14:textId="77777777" w:rsidR="00B53433" w:rsidRDefault="00000000">
      <w:pPr>
        <w:pBdr>
          <w:left w:val="single" w:sz="24" w:space="8" w:color="C45911"/>
        </w:pBdr>
        <w:spacing w:after="180"/>
        <w:ind w:left="240"/>
      </w:pPr>
      <w:r>
        <w:rPr>
          <w:i/>
          <w:iCs/>
          <w:color w:val="833C0C"/>
        </w:rPr>
        <w:t>Agreed entirely. Workshop-first is the pragmatic strategy. The colleague’s realistic plan is adopted as the official publication strategy. Run pilot first, then decide between workshop and conference based on results. A workshop paper covering pilot results, Tier A detection, and population size ablation is achievable on a 4-6 month timeline. The negative result fallback also stands as a legitimate contribution if the method fails.</w:t>
      </w:r>
    </w:p>
    <w:p w14:paraId="0C000001" w14:textId="77777777" w:rsidR="00B53433" w:rsidRDefault="00000000">
      <w:pPr>
        <w:pStyle w:val="Heading1"/>
      </w:pPr>
      <w:r>
        <w:t>12. Overall Response Summary</w:t>
      </w:r>
    </w:p>
    <w:p w14:paraId="0C000002" w14:textId="77777777" w:rsidR="00B53433" w:rsidRDefault="00000000">
      <w:pPr>
        <w:spacing w:after="120"/>
      </w:pPr>
      <w:r>
        <w:t>The colleague’s critique is excellent and improves the project substantially. None of the concerns kill the methodology. The collective resolution is summarized below.</w:t>
      </w:r>
    </w:p>
    <w:p w14:paraId="0C000003" w14:textId="77777777" w:rsidR="00B53433" w:rsidRDefault="00000000">
      <w:pPr>
        <w:pStyle w:val="Heading2"/>
      </w:pPr>
      <w:r>
        <w:t>What changes in the project</w:t>
      </w:r>
    </w:p>
    <w:p w14:paraId="0C000004" w14:textId="77777777" w:rsidR="00B53433" w:rsidRDefault="00000000">
      <w:pPr>
        <w:numPr>
          <w:ilvl w:val="0"/>
          <w:numId w:val="1"/>
        </w:numPr>
        <w:spacing w:after="80"/>
        <w:ind w:left="720" w:hanging="360"/>
      </w:pPr>
      <w:r>
        <w:t>The threat model becomes Tier A (reference-light, known base architecture) rather than the original aspirational reference-free framing. This is more honest, more realistic, and more useful.</w:t>
      </w:r>
    </w:p>
    <w:p w14:paraId="0C000005" w14:textId="77777777" w:rsidR="00B53433" w:rsidRDefault="00000000">
      <w:pPr>
        <w:numPr>
          <w:ilvl w:val="0"/>
          <w:numId w:val="1"/>
        </w:numPr>
        <w:spacing w:after="80"/>
        <w:ind w:left="720" w:hanging="360"/>
      </w:pPr>
      <w:r>
        <w:t>Phase 0 is added before the original Phase 1: residual preservation visual inspection. This single test resolves the largest uncertainty in the project (concern 11.5) within one week.</w:t>
      </w:r>
    </w:p>
    <w:p w14:paraId="0C000006" w14:textId="77777777" w:rsidR="00B53433" w:rsidRDefault="00000000">
      <w:pPr>
        <w:numPr>
          <w:ilvl w:val="0"/>
          <w:numId w:val="1"/>
        </w:numPr>
        <w:spacing w:after="80"/>
        <w:ind w:left="720" w:hanging="360"/>
      </w:pPr>
      <w:r>
        <w:t>Every poisoned model gets a matched clean-finetuned control. This roughly doubles model training count but is non-negotiable for valid results.</w:t>
      </w:r>
    </w:p>
    <w:p w14:paraId="0C000007" w14:textId="77777777" w:rsidR="00B53433" w:rsidRDefault="00000000">
      <w:pPr>
        <w:numPr>
          <w:ilvl w:val="0"/>
          <w:numId w:val="1"/>
        </w:numPr>
        <w:spacing w:after="80"/>
        <w:ind w:left="720" w:hanging="360"/>
      </w:pPr>
      <w:r>
        <w:t>Threshold calibration uses both Tracy-Widom (theoretical) and bootstrap (empirical) approaches. Whichever produces cleaner separation in practice becomes the primary method, with the other as comparison.</w:t>
      </w:r>
    </w:p>
    <w:p w14:paraId="0C000008" w14:textId="77777777" w:rsidR="00B53433" w:rsidRDefault="00000000">
      <w:pPr>
        <w:numPr>
          <w:ilvl w:val="0"/>
          <w:numId w:val="1"/>
        </w:numPr>
        <w:spacing w:after="80"/>
        <w:ind w:left="720" w:hanging="360"/>
      </w:pPr>
      <w:r>
        <w:t>Multiple training datasets (LAION, Midjourney, Tarot) are tested to validate generalization across data distributions.</w:t>
      </w:r>
    </w:p>
    <w:p w14:paraId="0C000009" w14:textId="77777777" w:rsidR="00B53433" w:rsidRDefault="00000000">
      <w:pPr>
        <w:numPr>
          <w:ilvl w:val="0"/>
          <w:numId w:val="1"/>
        </w:numPr>
        <w:spacing w:after="80"/>
        <w:ind w:left="720" w:hanging="360"/>
      </w:pPr>
      <w:r>
        <w:t>Workshop becomes the primary publication target with conference as stretch goal, contingent on pilot results.</w:t>
      </w:r>
    </w:p>
    <w:p w14:paraId="0C00000A" w14:textId="77777777" w:rsidR="00B53433" w:rsidRDefault="00000000">
      <w:pPr>
        <w:pStyle w:val="Heading2"/>
      </w:pPr>
      <w:r>
        <w:t>What does NOT change</w:t>
      </w:r>
    </w:p>
    <w:p w14:paraId="0C00000B" w14:textId="77777777" w:rsidR="00B53433" w:rsidRDefault="00000000">
      <w:pPr>
        <w:spacing w:after="120"/>
      </w:pPr>
      <w:r>
        <w:t>The core methodology (SVD on noise residuals, spectral concentration analysis) remains unchanged. The three borrowed domains (RMT, side-channel analysis, PRNU forensics) remain the intellectual foundation. The baselines list, benchmark choice (BackdoorDM), and overall paper structure remain valid. We are not switching to bispectrum or inflation factor based on these concerns; we are tightening the existing approach.</w:t>
      </w:r>
    </w:p>
    <w:p w14:paraId="0C00000C" w14:textId="77777777" w:rsidR="00B53433" w:rsidRDefault="00000000">
      <w:pPr>
        <w:pStyle w:val="Heading2"/>
      </w:pPr>
      <w:r>
        <w:t>Immediate next steps</w:t>
      </w:r>
    </w:p>
    <w:p w14:paraId="0C00000D" w14:textId="77777777" w:rsidR="00B53433" w:rsidRDefault="00000000">
      <w:pPr>
        <w:numPr>
          <w:ilvl w:val="0"/>
          <w:numId w:val="1"/>
        </w:numPr>
        <w:spacing w:after="80"/>
        <w:ind w:left="720" w:hanging="360"/>
      </w:pPr>
      <w:r>
        <w:t>Run Phase 0 (residual preservation test) as the first action. Result determines whether the project proceeds as planned, requires denoiser pivot, or requires methodology pivot.</w:t>
      </w:r>
    </w:p>
    <w:p w14:paraId="0C00000E" w14:textId="77777777" w:rsidR="00B53433" w:rsidRDefault="00000000">
      <w:pPr>
        <w:numPr>
          <w:ilvl w:val="0"/>
          <w:numId w:val="1"/>
        </w:numPr>
        <w:spacing w:after="80"/>
        <w:ind w:left="720" w:hanging="360"/>
      </w:pPr>
      <w:r>
        <w:t>Run bulk eigenvalue distribution test (concern 11.1 check) immediately after Phase 0. Result determines threshold calibration approach.</w:t>
      </w:r>
    </w:p>
    <w:p w14:paraId="0C00000F" w14:textId="77777777" w:rsidR="00B53433" w:rsidRDefault="00000000">
      <w:pPr>
        <w:numPr>
          <w:ilvl w:val="0"/>
          <w:numId w:val="1"/>
        </w:numPr>
        <w:spacing w:after="180"/>
        <w:ind w:left="720" w:hanging="360"/>
      </w:pPr>
      <w:r>
        <w:t>Update Section 2 (Methodology) and Section 7 (Experimental Plan) of this briefing to reflect Tier A scope, Phase 0 addition, clean-finetuned controls, and dual threshold calibration.</w:t>
      </w:r>
    </w:p>
    <w:p w14:paraId="01EA8398" w14:textId="77777777" w:rsidR="00B2683B" w:rsidRDefault="00B2683B" w:rsidP="000F04F1">
      <w:pPr>
        <w:spacing w:after="80"/>
      </w:pPr>
    </w:p>
    <w:sectPr w:rsidR="00B268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1266D"/>
    <w:multiLevelType w:val="hybridMultilevel"/>
    <w:tmpl w:val="BDEED14E"/>
    <w:lvl w:ilvl="0" w:tplc="1D72F1E4">
      <w:start w:val="1"/>
      <w:numFmt w:val="decimal"/>
      <w:lvlText w:val="%1."/>
      <w:lvlJc w:val="left"/>
      <w:pPr>
        <w:ind w:left="720" w:hanging="360"/>
      </w:pPr>
    </w:lvl>
    <w:lvl w:ilvl="1" w:tplc="5EF4529C">
      <w:numFmt w:val="decimal"/>
      <w:lvlText w:val=""/>
      <w:lvlJc w:val="left"/>
    </w:lvl>
    <w:lvl w:ilvl="2" w:tplc="AB56A63C">
      <w:numFmt w:val="decimal"/>
      <w:lvlText w:val=""/>
      <w:lvlJc w:val="left"/>
    </w:lvl>
    <w:lvl w:ilvl="3" w:tplc="FDE607AE">
      <w:numFmt w:val="decimal"/>
      <w:lvlText w:val=""/>
      <w:lvlJc w:val="left"/>
    </w:lvl>
    <w:lvl w:ilvl="4" w:tplc="E3781F72">
      <w:numFmt w:val="decimal"/>
      <w:lvlText w:val=""/>
      <w:lvlJc w:val="left"/>
    </w:lvl>
    <w:lvl w:ilvl="5" w:tplc="A280AAB8">
      <w:numFmt w:val="decimal"/>
      <w:lvlText w:val=""/>
      <w:lvlJc w:val="left"/>
    </w:lvl>
    <w:lvl w:ilvl="6" w:tplc="04826E84">
      <w:numFmt w:val="decimal"/>
      <w:lvlText w:val=""/>
      <w:lvlJc w:val="left"/>
    </w:lvl>
    <w:lvl w:ilvl="7" w:tplc="2C0086E2">
      <w:numFmt w:val="decimal"/>
      <w:lvlText w:val=""/>
      <w:lvlJc w:val="left"/>
    </w:lvl>
    <w:lvl w:ilvl="8" w:tplc="0A8C0B4A">
      <w:numFmt w:val="decimal"/>
      <w:lvlText w:val=""/>
      <w:lvlJc w:val="left"/>
    </w:lvl>
  </w:abstractNum>
  <w:abstractNum w:abstractNumId="1" w15:restartNumberingAfterBreak="0">
    <w:nsid w:val="53A7698F"/>
    <w:multiLevelType w:val="hybridMultilevel"/>
    <w:tmpl w:val="C94E2EDE"/>
    <w:lvl w:ilvl="0" w:tplc="86D2B19E">
      <w:start w:val="1"/>
      <w:numFmt w:val="bullet"/>
      <w:lvlText w:val="●"/>
      <w:lvlJc w:val="left"/>
      <w:pPr>
        <w:ind w:left="720" w:hanging="360"/>
      </w:pPr>
    </w:lvl>
    <w:lvl w:ilvl="1" w:tplc="A5E26BF2">
      <w:start w:val="1"/>
      <w:numFmt w:val="bullet"/>
      <w:lvlText w:val="○"/>
      <w:lvlJc w:val="left"/>
      <w:pPr>
        <w:ind w:left="1440" w:hanging="360"/>
      </w:pPr>
    </w:lvl>
    <w:lvl w:ilvl="2" w:tplc="AD2AB2FE">
      <w:start w:val="1"/>
      <w:numFmt w:val="bullet"/>
      <w:lvlText w:val="■"/>
      <w:lvlJc w:val="left"/>
      <w:pPr>
        <w:ind w:left="2160" w:hanging="360"/>
      </w:pPr>
    </w:lvl>
    <w:lvl w:ilvl="3" w:tplc="6728015C">
      <w:start w:val="1"/>
      <w:numFmt w:val="bullet"/>
      <w:lvlText w:val="●"/>
      <w:lvlJc w:val="left"/>
      <w:pPr>
        <w:ind w:left="2880" w:hanging="360"/>
      </w:pPr>
    </w:lvl>
    <w:lvl w:ilvl="4" w:tplc="9690AE94">
      <w:start w:val="1"/>
      <w:numFmt w:val="bullet"/>
      <w:lvlText w:val="○"/>
      <w:lvlJc w:val="left"/>
      <w:pPr>
        <w:ind w:left="3600" w:hanging="360"/>
      </w:pPr>
    </w:lvl>
    <w:lvl w:ilvl="5" w:tplc="E8244760">
      <w:start w:val="1"/>
      <w:numFmt w:val="bullet"/>
      <w:lvlText w:val="■"/>
      <w:lvlJc w:val="left"/>
      <w:pPr>
        <w:ind w:left="4320" w:hanging="360"/>
      </w:pPr>
    </w:lvl>
    <w:lvl w:ilvl="6" w:tplc="7FBAA9B8">
      <w:start w:val="1"/>
      <w:numFmt w:val="bullet"/>
      <w:lvlText w:val="●"/>
      <w:lvlJc w:val="left"/>
      <w:pPr>
        <w:ind w:left="5040" w:hanging="360"/>
      </w:pPr>
    </w:lvl>
    <w:lvl w:ilvl="7" w:tplc="6DF4B7A2">
      <w:start w:val="1"/>
      <w:numFmt w:val="bullet"/>
      <w:lvlText w:val="●"/>
      <w:lvlJc w:val="left"/>
      <w:pPr>
        <w:ind w:left="5760" w:hanging="360"/>
      </w:pPr>
    </w:lvl>
    <w:lvl w:ilvl="8" w:tplc="35CAEE4E">
      <w:start w:val="1"/>
      <w:numFmt w:val="bullet"/>
      <w:lvlText w:val="●"/>
      <w:lvlJc w:val="left"/>
      <w:pPr>
        <w:ind w:left="6480" w:hanging="360"/>
      </w:pPr>
    </w:lvl>
  </w:abstractNum>
  <w:abstractNum w:abstractNumId="2" w15:restartNumberingAfterBreak="0">
    <w:nsid w:val="79E87DB6"/>
    <w:multiLevelType w:val="hybridMultilevel"/>
    <w:tmpl w:val="2368C9F0"/>
    <w:lvl w:ilvl="0" w:tplc="9ACE6D4C">
      <w:start w:val="1"/>
      <w:numFmt w:val="bullet"/>
      <w:lvlText w:val="•"/>
      <w:lvlJc w:val="left"/>
      <w:pPr>
        <w:ind w:left="720" w:hanging="360"/>
      </w:pPr>
    </w:lvl>
    <w:lvl w:ilvl="1" w:tplc="5E6EF5E0">
      <w:numFmt w:val="decimal"/>
      <w:lvlText w:val=""/>
      <w:lvlJc w:val="left"/>
    </w:lvl>
    <w:lvl w:ilvl="2" w:tplc="46DA922C">
      <w:numFmt w:val="decimal"/>
      <w:lvlText w:val=""/>
      <w:lvlJc w:val="left"/>
    </w:lvl>
    <w:lvl w:ilvl="3" w:tplc="4DB45DF8">
      <w:numFmt w:val="decimal"/>
      <w:lvlText w:val=""/>
      <w:lvlJc w:val="left"/>
    </w:lvl>
    <w:lvl w:ilvl="4" w:tplc="49D4A1EE">
      <w:numFmt w:val="decimal"/>
      <w:lvlText w:val=""/>
      <w:lvlJc w:val="left"/>
    </w:lvl>
    <w:lvl w:ilvl="5" w:tplc="A9DE55C8">
      <w:numFmt w:val="decimal"/>
      <w:lvlText w:val=""/>
      <w:lvlJc w:val="left"/>
    </w:lvl>
    <w:lvl w:ilvl="6" w:tplc="38E89394">
      <w:numFmt w:val="decimal"/>
      <w:lvlText w:val=""/>
      <w:lvlJc w:val="left"/>
    </w:lvl>
    <w:lvl w:ilvl="7" w:tplc="3A66D7F4">
      <w:numFmt w:val="decimal"/>
      <w:lvlText w:val=""/>
      <w:lvlJc w:val="left"/>
    </w:lvl>
    <w:lvl w:ilvl="8" w:tplc="5B6A6D20">
      <w:numFmt w:val="decimal"/>
      <w:lvlText w:val=""/>
      <w:lvlJc w:val="left"/>
    </w:lvl>
  </w:abstractNum>
  <w:num w:numId="1" w16cid:durableId="1914004462">
    <w:abstractNumId w:val="1"/>
    <w:lvlOverride w:ilvl="0">
      <w:startOverride w:val="1"/>
    </w:lvlOverride>
  </w:num>
  <w:num w:numId="2" w16cid:durableId="104350256">
    <w:abstractNumId w:val="2"/>
    <w:lvlOverride w:ilvl="0">
      <w:startOverride w:val="1"/>
    </w:lvlOverride>
  </w:num>
  <w:num w:numId="3" w16cid:durableId="21984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433"/>
    <w:rsid w:val="000F04F1"/>
    <w:rsid w:val="006D1722"/>
    <w:rsid w:val="00B2683B"/>
    <w:rsid w:val="00B53433"/>
    <w:rsid w:val="00E63A3C"/>
    <w:rsid w:val="00F63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9C6C4"/>
  <w15:docId w15:val="{BFAD4B4E-FF37-B346-96C2-90DE2E004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2683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268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3476</Words>
  <Characters>19818</Characters>
  <Application>Microsoft Office Word</Application>
  <DocSecurity>0</DocSecurity>
  <Lines>165</Lines>
  <Paragraphs>46</Paragraphs>
  <ScaleCrop>false</ScaleCrop>
  <Company/>
  <LinksUpToDate>false</LinksUpToDate>
  <CharactersWithSpaces>23248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Yevin Goonatilake</cp:lastModifiedBy>
  <cp:revision>5</cp:revision>
  <dcterms:created xsi:type="dcterms:W3CDTF">2026-04-13T05:36:00Z</dcterms:created>
  <dcterms:modified xsi:type="dcterms:W3CDTF">2026-04-14T22:45:00Z</dcterms:modified>
</cp:coreProperties>
</file>