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20383A"/>
          <w:sz w:val="48"/>
          <w:szCs w:val="48"/>
        </w:rPr>
        <w:t xml:space="preserve">Übergabeprotokoll</w:t>
      </w:r>
    </w:p>
    <w:p>
      <w:pPr>
        <w:spacing w:after="40"/>
      </w:pPr>
      <w:r>
        <w:rPr>
          <w:rFonts w:ascii="Georgia" w:cs="Georgia" w:eastAsia="Georgia" w:hAnsi="Georgia"/>
          <w:color w:val="45B4C6"/>
          <w:sz w:val="36"/>
          <w:szCs w:val="36"/>
        </w:rPr>
        <w:t xml:space="preserve">Circle-Feature: Green Cities</w:t>
      </w:r>
    </w:p>
    <w:p>
      <w:pPr>
        <w:spacing w:after="4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Impact Collective Clickdummy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 Februar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Erstellt von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(KI-Assistent) für Phillip Brandts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Projekt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 Collective – PHINEO gAG / NaWi-Programm BMWK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Konzipiert, noch nicht implementiert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Arbeitsdatei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impact-collective-clickdummy Kopie.html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Kontext und Zielsetzung</w:t>
      </w:r>
    </w:p>
    <w:p>
      <w:pPr>
        <w:spacing w:after="120"/>
      </w:pPr>
      <w:r>
        <w:t xml:space="preserve">Das Impact Collective ist eine Matching-Plattform für das NaWi-Programm des BMWK. Sie vernetzt Impact-Startups, Enabler, Investoren, Verbände und weitere Akteure des nachhaltigen Wirtschaftens.</w:t>
      </w:r>
    </w:p>
    <w:p>
      <w:pPr>
        <w:spacing w:after="120"/>
      </w:pPr>
      <w:r>
        <w:t xml:space="preserve">Aktuell bietet der Clickdummy eine Akteursübersicht mit Profilen, ein KI-Matching-Feature, einen Funding Flow und einen Investor Flow. Was fehlt: ein thematischer Kollaborationsraum, in dem Akteure rund um ein konkretes Wirkungsthema zusammenarbeiten können.</w:t>
      </w:r>
    </w:p>
    <w:p>
      <w:pPr>
        <w:spacing w:after="120"/>
      </w:pPr>
      <w:r>
        <w:rPr>
          <w:b/>
          <w:bCs/>
        </w:rPr>
        <w:t xml:space="preserve">Circles </w:t>
      </w:r>
      <w:r>
        <w:t xml:space="preserve">(im Förderantrag </w:t>
      </w:r>
      <w:r>
        <w:rPr>
          <w:i/>
          <w:iCs/>
        </w:rPr>
        <w:t xml:space="preserve">„Collectives“</w:t>
      </w:r>
      <w:r>
        <w:t xml:space="preserve"> genannt) sind genau diese thematischen Räume. Der erste Circle soll </w:t>
      </w:r>
      <w:r>
        <w:rPr>
          <w:b/>
          <w:bCs/>
        </w:rPr>
        <w:t xml:space="preserve">„Green Cities“</w:t>
      </w:r>
      <w:r>
        <w:t xml:space="preserve"> sein.</w:t>
      </w:r>
    </w:p>
    <w:p>
      <w:pPr>
        <w:pStyle w:val="Heading1"/>
      </w:pPr>
      <w:r>
        <w:rPr>
          <w:b/>
          <w:bCs/>
        </w:rPr>
        <w:t xml:space="preserve">2. Green Cities – Inhaltliche Definition</w:t>
      </w:r>
    </w:p>
    <w:p>
      <w:pPr>
        <w:pStyle w:val="Heading2"/>
      </w:pPr>
      <w:r>
        <w:rPr>
          <w:b/>
          <w:bCs/>
        </w:rPr>
        <w:t xml:space="preserve">2.1 Leitfrage</w:t>
      </w:r>
    </w:p>
    <w:p>
      <w:pPr>
        <w:spacing w:after="120"/>
      </w:pPr>
      <w:r>
        <w:rPr>
          <w:i/>
          <w:iCs/>
          <w:color w:val="45B4C6"/>
          <w:sz w:val="24"/>
          <w:szCs w:val="24"/>
        </w:rPr>
        <w:t xml:space="preserve">„Wie können Impact-Startups und urbane Akteure zusammenwirken, um Städte klimaresilient, lebenswert und nachhaltig zu gestalten?“</w:t>
      </w:r>
    </w:p>
    <w:p>
      <w:pPr>
        <w:pStyle w:val="Heading2"/>
      </w:pPr>
      <w:r>
        <w:rPr>
          <w:b/>
          <w:bCs/>
        </w:rPr>
        <w:t xml:space="preserve">2.2 Themenfelder</w:t>
      </w:r>
    </w:p>
    <w:p>
      <w:pPr>
        <w:pStyle w:val="ListParagraph"/>
        <w:numPr>
          <w:ilvl w:val="0"/>
          <w:numId w:val="2"/>
        </w:numPr>
      </w:pPr>
      <w:r>
        <w:t xml:space="preserve">Urbane Begrünung und Fassadensysteme</w:t>
      </w:r>
    </w:p>
    <w:p>
      <w:pPr>
        <w:pStyle w:val="ListParagraph"/>
        <w:numPr>
          <w:ilvl w:val="0"/>
          <w:numId w:val="2"/>
        </w:numPr>
      </w:pPr>
      <w:r>
        <w:t xml:space="preserve">Nachhaltige Mobilität (Lastenrad-Sharing, Mikromobilität)</w:t>
      </w:r>
    </w:p>
    <w:p>
      <w:pPr>
        <w:pStyle w:val="ListParagraph"/>
        <w:numPr>
          <w:ilvl w:val="0"/>
          <w:numId w:val="2"/>
        </w:numPr>
      </w:pPr>
      <w:r>
        <w:t xml:space="preserve">Smarte Gebäudetechnik und Energieeffizienz</w:t>
      </w:r>
    </w:p>
    <w:p>
      <w:pPr>
        <w:pStyle w:val="ListParagraph"/>
        <w:numPr>
          <w:ilvl w:val="0"/>
          <w:numId w:val="2"/>
        </w:numPr>
      </w:pPr>
      <w:r>
        <w:t xml:space="preserve">Zirkuläres Bauen und Recycling-Baustoffe</w:t>
      </w:r>
    </w:p>
    <w:p>
      <w:pPr>
        <w:pStyle w:val="ListParagraph"/>
        <w:numPr>
          <w:ilvl w:val="0"/>
          <w:numId w:val="2"/>
        </w:numPr>
      </w:pPr>
      <w:r>
        <w:t xml:space="preserve">Urban Farming und lokale Ernährungssysteme</w:t>
      </w:r>
    </w:p>
    <w:p>
      <w:pPr>
        <w:pStyle w:val="ListParagraph"/>
        <w:numPr>
          <w:ilvl w:val="0"/>
          <w:numId w:val="2"/>
        </w:numPr>
      </w:pPr>
      <w:r>
        <w:t xml:space="preserve">Schwammstadt-Konzepte und Hitzeresilienz</w:t>
      </w:r>
    </w:p>
    <w:p>
      <w:pPr>
        <w:pStyle w:val="Heading2"/>
      </w:pPr>
      <w:r>
        <w:rPr>
          <w:b/>
          <w:bCs/>
        </w:rPr>
        <w:t xml:space="preserve">2.3 Zielgruppe / Teilnehmende (kuratiert, 8–12)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Beispiel-Akteure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Bezug zu Green Cities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Fassadenbegrünung, Lastenrad-Logistik, Recycling-Baustoffe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Lösungsanbieter für urbane Nachhaltigkeit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Stadtplanungsämter, Wohnungsbaugesellschaften, Architektbüros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Umsetzungspartner und Nachfrageseite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Wissenschaft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Stadtklimatolog:innen, Fraunhofer-Institute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Evidenzbasierung und Wirkungsmessung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Investoren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Impact-Fonds mit Urban-/Climate-Fokus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Finanzierung von Pilotprojekten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Verbände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BNW, B.A.U.M. e.V.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Netzwerk und politische Einbettung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Minimaler Ablauf (Lean-Variante)</w:t>
      </w:r>
    </w:p>
    <w:p>
      <w:pPr>
        <w:spacing w:after="120"/>
      </w:pPr>
      <w:r>
        <w:t xml:space="preserve">Basierend auf der Diskussion wurde ein bewusst schlankes Circle-Format gewählt, das PHINEOs Aufwand auf ca. 0,5 Personentage pro Circle pro Quartal begrenzt:</w:t>
      </w:r>
    </w:p>
    <w:p>
      <w:pPr>
        <w:pStyle w:val="Heading2"/>
      </w:pPr>
      <w:r>
        <w:rPr>
          <w:b/>
          <w:bCs/>
        </w:rPr>
        <w:t xml:space="preserve">3.1 Drei Phasen</w:t>
      </w:r>
    </w:p>
    <w:p>
      <w:pPr>
        <w:spacing w:after="120"/>
      </w:pPr>
      <w:r>
        <w:rPr>
          <w:b/>
          <w:bCs/>
        </w:rPr>
        <w:t xml:space="preserve">Phase 1: Kick-off (90 Min., digital)</w:t>
      </w:r>
    </w:p>
    <w:p>
      <w:pPr>
        <w:pStyle w:val="ListParagraph"/>
        <w:numPr>
          <w:ilvl w:val="0"/>
          <w:numId w:val="2"/>
        </w:numPr>
      </w:pPr>
      <w:r>
        <w:t xml:space="preserve">KI-Matching identifiziert thematisch passende Akteure automatisch</w:t>
      </w:r>
    </w:p>
    <w:p>
      <w:pPr>
        <w:pStyle w:val="ListParagraph"/>
        <w:numPr>
          <w:ilvl w:val="0"/>
          <w:numId w:val="2"/>
        </w:numPr>
      </w:pPr>
      <w:r>
        <w:t xml:space="preserve">PHINEO moderiert kurze Vorstellungsrunde und Bedarfsabfrage</w:t>
      </w:r>
    </w:p>
    <w:p>
      <w:pPr>
        <w:pStyle w:val="ListParagraph"/>
        <w:numPr>
          <w:ilvl w:val="0"/>
          <w:numId w:val="2"/>
        </w:numPr>
      </w:pPr>
      <w:r>
        <w:t xml:space="preserve">Teilnehmende formulieren: „Was suche ich? Was biete ich?“</w:t>
      </w:r>
    </w:p>
    <w:p>
      <w:pPr>
        <w:pStyle w:val="ListParagraph"/>
        <w:numPr>
          <w:ilvl w:val="0"/>
          <w:numId w:val="2"/>
        </w:numPr>
      </w:pPr>
      <w:r>
        <w:t xml:space="preserve">Ergebnis: 2–3 konkrete Kooperationsachsen identifiziert</w:t>
      </w:r>
    </w:p>
    <w:p>
      <w:pPr>
        <w:spacing w:after="120"/>
      </w:pPr>
      <w:r>
        <w:rPr>
          <w:b/>
          <w:bCs/>
        </w:rPr>
        <w:t xml:space="preserve">Phase 2: Selbstorganisierte Arbeitsphase (3 Monate)</w:t>
      </w:r>
    </w:p>
    <w:p>
      <w:pPr>
        <w:pStyle w:val="ListParagraph"/>
        <w:numPr>
          <w:ilvl w:val="0"/>
          <w:numId w:val="2"/>
        </w:numPr>
      </w:pPr>
      <w:r>
        <w:t xml:space="preserve">Gruppe organisiert sich eigenständig (Slack-Channel / Plattform-Gruppe)</w:t>
      </w:r>
    </w:p>
    <w:p>
      <w:pPr>
        <w:pStyle w:val="ListParagraph"/>
        <w:numPr>
          <w:ilvl w:val="0"/>
          <w:numId w:val="2"/>
        </w:numPr>
      </w:pPr>
      <w:r>
        <w:t xml:space="preserve">KI-Matching-Tool steht für weitere Partnersuche bereit</w:t>
      </w:r>
    </w:p>
    <w:p>
      <w:pPr>
        <w:pStyle w:val="ListParagraph"/>
        <w:numPr>
          <w:ilvl w:val="0"/>
          <w:numId w:val="2"/>
        </w:numPr>
      </w:pPr>
      <w:r>
        <w:t xml:space="preserve">Optional: Ein Startup übernimmt „Circle Lead“-Rolle (Sichtbarkeit als Incentive)</w:t>
      </w:r>
    </w:p>
    <w:p>
      <w:pPr>
        <w:pStyle w:val="ListParagraph"/>
        <w:numPr>
          <w:ilvl w:val="0"/>
          <w:numId w:val="2"/>
        </w:numPr>
      </w:pPr>
      <w:r>
        <w:t xml:space="preserve">PHINEO greift nicht aktiv ein</w:t>
      </w:r>
    </w:p>
    <w:p>
      <w:pPr>
        <w:spacing w:after="120"/>
      </w:pPr>
      <w:r>
        <w:rPr>
          <w:b/>
          <w:bCs/>
        </w:rPr>
        <w:t xml:space="preserve">Phase 3: Check-in (30 Min., nach 3 Monaten)</w:t>
      </w:r>
    </w:p>
    <w:p>
      <w:pPr>
        <w:pStyle w:val="ListParagraph"/>
        <w:numPr>
          <w:ilvl w:val="0"/>
          <w:numId w:val="2"/>
        </w:numPr>
      </w:pPr>
      <w:r>
        <w:t xml:space="preserve">PHINEO dokumentiert: Was ist passiert? Pilotprojekte?</w:t>
      </w:r>
    </w:p>
    <w:p>
      <w:pPr>
        <w:pStyle w:val="ListParagraph"/>
        <w:numPr>
          <w:ilvl w:val="0"/>
          <w:numId w:val="2"/>
        </w:numPr>
      </w:pPr>
      <w:r>
        <w:t xml:space="preserve">Ergebnisse fließen in Monitoring und Verwendungsnachweis</w:t>
      </w:r>
    </w:p>
    <w:p>
      <w:pPr>
        <w:pStyle w:val="ListParagraph"/>
        <w:numPr>
          <w:ilvl w:val="0"/>
          <w:numId w:val="2"/>
        </w:numPr>
      </w:pPr>
      <w:r>
        <w:t xml:space="preserve">Entscheidung: Circle weiterführen, pausieren oder abschließen</w:t>
      </w:r>
    </w:p>
    <w:p>
      <w:pPr>
        <w:pStyle w:val="Heading2"/>
      </w:pPr>
      <w:r>
        <w:rPr>
          <w:b/>
          <w:bCs/>
        </w:rPr>
        <w:t xml:space="preserve">3.2 PHINEOs Rolle</w:t>
      </w:r>
    </w:p>
    <w:p>
      <w:pPr>
        <w:spacing w:after="120"/>
      </w:pPr>
      <w:r>
        <w:t xml:space="preserve">Nicht aktive Orchestrierung, sondern Infrastruktur + Qualitätssicherung:</w:t>
      </w:r>
    </w:p>
    <w:p>
      <w:pPr>
        <w:pStyle w:val="ListParagraph"/>
        <w:numPr>
          <w:ilvl w:val="0"/>
          <w:numId w:val="2"/>
        </w:numPr>
      </w:pPr>
      <w:r>
        <w:t xml:space="preserve">Plattform bereitstellen</w:t>
      </w:r>
    </w:p>
    <w:p>
      <w:pPr>
        <w:pStyle w:val="ListParagraph"/>
        <w:numPr>
          <w:ilvl w:val="0"/>
          <w:numId w:val="2"/>
        </w:numPr>
      </w:pPr>
      <w:r>
        <w:t xml:space="preserve">Onboarding/Due Diligence sichern</w:t>
      </w:r>
    </w:p>
    <w:p>
      <w:pPr>
        <w:pStyle w:val="ListParagraph"/>
        <w:numPr>
          <w:ilvl w:val="0"/>
          <w:numId w:val="2"/>
        </w:numPr>
      </w:pPr>
      <w:r>
        <w:t xml:space="preserve">KI-Matching laufen lassen</w:t>
      </w:r>
    </w:p>
    <w:p>
      <w:pPr>
        <w:pStyle w:val="ListParagraph"/>
        <w:numPr>
          <w:ilvl w:val="0"/>
          <w:numId w:val="2"/>
        </w:numPr>
      </w:pPr>
      <w:r>
        <w:t xml:space="preserve">Ergebnisse dokumentieren</w:t>
      </w:r>
    </w:p>
    <w:p>
      <w:pPr>
        <w:spacing w:after="120"/>
      </w:pPr>
      <w:r>
        <w:rPr>
          <w:b/>
          <w:bCs/>
        </w:rPr>
        <w:t xml:space="preserve">Wichtig: </w:t>
      </w:r>
      <w:r>
        <w:t xml:space="preserve">Pilotprojekte werden nicht operativ begleitet. Was Teilnehmende daraus machen, liegt bei ihnen.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Technische Umsetzung im Clickdummy</w:t>
      </w:r>
    </w:p>
    <w:p>
      <w:pPr>
        <w:spacing w:after="120"/>
      </w:pPr>
      <w:r>
        <w:t xml:space="preserve">Gewählter Ansatz: Option 2 – Leichtgewichtige Erweiterung des bestehenden Clickdummies.</w:t>
      </w:r>
    </w:p>
    <w:p>
      <w:pPr>
        <w:pStyle w:val="Heading2"/>
      </w:pPr>
      <w:r>
        <w:rPr>
          <w:b/>
          <w:bCs/>
        </w:rPr>
        <w:t xml:space="preserve">4.1 Neue UI-Komponenten</w:t>
      </w:r>
    </w:p>
    <w:p>
      <w:pPr>
        <w:spacing w:after="120"/>
      </w:pPr>
      <w:r>
        <w:rPr>
          <w:b/>
          <w:bCs/>
        </w:rPr>
        <w:t xml:space="preserve">A) Navigation: „Circles“ im Header</w:t>
      </w:r>
    </w:p>
    <w:p>
      <w:pPr>
        <w:pStyle w:val="ListParagraph"/>
        <w:numPr>
          <w:ilvl w:val="0"/>
          <w:numId w:val="2"/>
        </w:numPr>
      </w:pPr>
      <w:r>
        <w:t xml:space="preserve">Neuer Nav-Punkt neben „Akteure“ und „Matching“</w:t>
      </w:r>
    </w:p>
    <w:p>
      <w:pPr>
        <w:pStyle w:val="ListParagraph"/>
        <w:numPr>
          <w:ilvl w:val="0"/>
          <w:numId w:val="2"/>
        </w:numPr>
      </w:pPr>
      <w:r>
        <w:t xml:space="preserve">Klick öffnet Circle-Übersicht (currentView: „circles“)</w:t>
      </w:r>
    </w:p>
    <w:p>
      <w:pPr>
        <w:spacing w:after="120"/>
      </w:pPr>
      <w:r>
        <w:rPr>
          <w:b/>
          <w:bCs/>
        </w:rPr>
        <w:t xml:space="preserve">B) CircleOverview – Übersichtsseite</w:t>
      </w:r>
    </w:p>
    <w:p>
      <w:pPr>
        <w:pStyle w:val="ListParagraph"/>
        <w:numPr>
          <w:ilvl w:val="0"/>
          <w:numId w:val="2"/>
        </w:numPr>
      </w:pPr>
      <w:r>
        <w:t xml:space="preserve">Zeigt alle verfügbaren Circles als Karten</w:t>
      </w:r>
    </w:p>
    <w:p>
      <w:pPr>
        <w:pStyle w:val="ListParagraph"/>
        <w:numPr>
          <w:ilvl w:val="0"/>
          <w:numId w:val="2"/>
        </w:numPr>
      </w:pPr>
      <w:r>
        <w:t xml:space="preserve">Green Cities als erster (und zunächst einziger) Circle</w:t>
      </w:r>
    </w:p>
    <w:p>
      <w:pPr>
        <w:pStyle w:val="ListParagraph"/>
        <w:numPr>
          <w:ilvl w:val="0"/>
          <w:numId w:val="2"/>
        </w:numPr>
      </w:pPr>
      <w:r>
        <w:t xml:space="preserve">Karte enthält: Titel, Leitfrage, Anzahl Mitglieder, Status-Badge</w:t>
      </w:r>
    </w:p>
    <w:p>
      <w:pPr>
        <w:pStyle w:val="ListParagraph"/>
        <w:numPr>
          <w:ilvl w:val="0"/>
          <w:numId w:val="2"/>
        </w:numPr>
      </w:pPr>
      <w:r>
        <w:t xml:space="preserve">Klick öffnet Circle-Detailseite</w:t>
      </w:r>
    </w:p>
    <w:p>
      <w:pPr>
        <w:spacing w:after="120"/>
      </w:pPr>
      <w:r>
        <w:rPr>
          <w:b/>
          <w:bCs/>
        </w:rPr>
        <w:t xml:space="preserve">C) CircleDetailView – Detailseite für Green Cities</w:t>
      </w:r>
    </w:p>
    <w:p>
      <w:pPr>
        <w:pStyle w:val="ListParagraph"/>
        <w:numPr>
          <w:ilvl w:val="0"/>
          <w:numId w:val="2"/>
        </w:numPr>
      </w:pPr>
      <w:r>
        <w:t xml:space="preserve">Header mit Titel, Leitfrage, Fortschrittsanzeige (Phase 1/2/3)</w:t>
      </w:r>
    </w:p>
    <w:p>
      <w:pPr>
        <w:pStyle w:val="ListParagraph"/>
        <w:numPr>
          <w:ilvl w:val="0"/>
          <w:numId w:val="2"/>
        </w:numPr>
      </w:pPr>
      <w:r>
        <w:t xml:space="preserve">Mitglieder-Grid: Gefilterte Akteure aus der bestehenden actors-Liste</w:t>
      </w:r>
    </w:p>
    <w:p>
      <w:pPr>
        <w:pStyle w:val="ListParagraph"/>
        <w:numPr>
          <w:ilvl w:val="0"/>
          <w:numId w:val="2"/>
        </w:numPr>
      </w:pPr>
      <w:r>
        <w:t xml:space="preserve">Nächstes Event: Kick-off-Termin mit Countdown</w:t>
      </w:r>
    </w:p>
    <w:p>
      <w:pPr>
        <w:pStyle w:val="ListParagraph"/>
        <w:numPr>
          <w:ilvl w:val="0"/>
          <w:numId w:val="2"/>
        </w:numPr>
      </w:pPr>
      <w:r>
        <w:t xml:space="preserve">Aktivitäts-Timeline: 3–5 Beispiel-Events (Kick-off, erstes Matching, Pilotprojekt-Idee)</w:t>
      </w:r>
    </w:p>
    <w:p>
      <w:pPr>
        <w:pStyle w:val="ListParagraph"/>
        <w:numPr>
          <w:ilvl w:val="0"/>
          <w:numId w:val="2"/>
        </w:numPr>
      </w:pPr>
      <w:r>
        <w:t xml:space="preserve">CTA-Button: „Circle beitreten“ (Clickdummy-Interaktion)</w:t>
      </w:r>
    </w:p>
    <w:p>
      <w:pPr>
        <w:pStyle w:val="Heading2"/>
      </w:pPr>
      <w:r>
        <w:rPr>
          <w:b/>
          <w:bCs/>
        </w:rPr>
        <w:t xml:space="preserve">4.2 Datenstruktur</w:t>
      </w:r>
    </w:p>
    <w:p>
      <w:pPr>
        <w:spacing w:after="120"/>
      </w:pPr>
      <w:r>
        <w:t xml:space="preserve">Neues circles-Array in der Datei, analog zu actors und matchingScenarios: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const circles = [{
  id: "green-cities",
  name: "Green Cities",
  leitfrage: "Wie können Impact-Startups und urbane Akteure...",
  color: { bg: "#2D6A4F", light: "#D8F3DC", text: "#1B4332" },
  members: [4, 12, 18, 25, 36, 37],  // actor IDs
  phase: 1,
  nextEvent: { type: "kickoff", date: "2026-03-15" },
  timeline: [
    { date: "2026-03-01", text: "Circle eröffnet" },
    { date: "2026-03-15", text: "Kick-off Workshop" },
  ]
}];</w:t>
      </w:r>
    </w:p>
    <w:p>
      <w:pPr>
        <w:pStyle w:val="Heading2"/>
      </w:pPr>
      <w:r>
        <w:rPr>
          <w:b/>
          <w:bCs/>
        </w:rPr>
        <w:t xml:space="preserve">4.3 Routing / State-Management</w:t>
      </w:r>
    </w:p>
    <w:p>
      <w:pPr>
        <w:spacing w:after="120"/>
      </w:pPr>
      <w:r>
        <w:t xml:space="preserve">Folgt dem bestehenden Pattern mit currentView:</w:t>
      </w:r>
    </w:p>
    <w:p>
      <w:pPr>
        <w:pStyle w:val="ListParagraph"/>
        <w:numPr>
          <w:ilvl w:val="0"/>
          <w:numId w:val="2"/>
        </w:numPr>
      </w:pPr>
      <w:r>
        <w:t xml:space="preserve">currentView === „circles“ → CircleOverview</w:t>
      </w:r>
    </w:p>
    <w:p>
      <w:pPr>
        <w:pStyle w:val="ListParagraph"/>
        <w:numPr>
          <w:ilvl w:val="0"/>
          <w:numId w:val="2"/>
        </w:numPr>
      </w:pPr>
      <w:r>
        <w:t xml:space="preserve">currentView === „circle-detail“ → CircleDetailView</w:t>
      </w:r>
    </w:p>
    <w:p>
      <w:pPr>
        <w:pStyle w:val="ListParagraph"/>
        <w:numPr>
          <w:ilvl w:val="0"/>
          <w:numId w:val="2"/>
        </w:numPr>
      </w:pPr>
      <w:r>
        <w:t xml:space="preserve">selectedCircle als neuer State (analog zu selectedActor)</w:t>
      </w:r>
    </w:p>
    <w:p>
      <w:pPr>
        <w:pStyle w:val="Heading2"/>
      </w:pPr>
      <w:r>
        <w:rPr>
          <w:b/>
          <w:bCs/>
        </w:rPr>
        <w:t xml:space="preserve">4.4 Farbschema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Primär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#2D6A4F (Waldgrün)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Header, Buttons, Badges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Hintergrund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#D8F3DC (Hellgrün)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Kartenhöhle, Tags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#1B4332 (Dunkelgrün)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Überschriften im Circle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Akzent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#45B4C6 (PHINEO Cyan)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CTA, Links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Bestehende Akteure für Green Cities</w:t>
      </w:r>
    </w:p>
    <w:p>
      <w:pPr>
        <w:spacing w:after="120"/>
      </w:pPr>
      <w:r>
        <w:t xml:space="preserve">Folgende bereits im Clickdummy vorhandene Akteure passen thematisch zum Green Cities Circle und könnten als Mitglieder eingebunden werden: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13"/>
        <w:gridCol w:w="2013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Bezug zu Green Cities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 im Circle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Concular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Zirkuläres Bauen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Lösungsanbieter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Circular Republic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Circular Economy Netzwerk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AUAR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Nachhaltige Architektur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Lösungsanbieter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BNW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Verband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Netzwerk nachh. Wirtschaft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Multiplikator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B.A.U.M. e.V.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Verband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Umweltmanagement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Multiplikator</w:t>
            </w:r>
          </w:p>
        </w:tc>
      </w:tr>
    </w:tbl>
    <w:p>
      <w:pPr>
        <w:spacing w:after="120"/>
      </w:pPr>
      <w:r>
        <w:rPr>
          <w:i/>
          <w:iCs/>
        </w:rPr>
        <w:t xml:space="preserve">Empfehlung: 3–4 weitere Green-Cities-spezifische Akteure als Dummy-Daten anlegen (z. B. ein Fassadenbegrünungs-Startup, ein Lastenrad-Service, eine Wohnungsbaugesellschaft).</w:t>
      </w:r>
    </w:p>
    <w:p>
      <w:pPr>
        <w:pStyle w:val="Heading1"/>
      </w:pPr>
      <w:r>
        <w:rPr>
          <w:b/>
          <w:bCs/>
        </w:rPr>
        <w:t xml:space="preserve">6. Skalierung: Weitere Circles</w:t>
      </w:r>
    </w:p>
    <w:p>
      <w:pPr>
        <w:spacing w:after="120"/>
      </w:pPr>
      <w:r>
        <w:t xml:space="preserve">Laut Förderantrag sind weitere Circles geplant. Aus der Konzeptdiskussion: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 Circles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Beispielthemen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Jahr 1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 Cities, Resilient Forests, Sustainable Materials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Jahr 2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Empowered Democracies, Responsible Finance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Jahr 3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10–15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Community-driven Themenvorschläge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Nächste Schritte zur Implementierung</w:t>
      </w:r>
    </w:p>
    <w:p>
      <w:pPr>
        <w:spacing w:after="120"/>
      </w:pPr>
      <w:r>
        <w:t xml:space="preserve">Empfohlene Reihenfolge für den nächsten Chat: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circles-Datenstruktur anlegen </w:t>
      </w:r>
      <w:r>
        <w:t xml:space="preserve">(Array mit Green Cities als erstem Eintrag, inkl. members, phase, timeline)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3–4 neue Dummy-Akteure anlegen </w:t>
      </w:r>
      <w:r>
        <w:t xml:space="preserve">(Green-Cities-spezifisch: Fassadenbegrünung, Lastenrad, Wohnungsbau, Stadtklima)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CircleOverview-Komponente bauen </w:t>
      </w:r>
      <w:r>
        <w:t xml:space="preserve">(Karten-Ansicht aller Circles)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CircleDetailView-Komponente bauen </w:t>
      </w:r>
      <w:r>
        <w:t xml:space="preserve">(Mitglieder, Timeline, Event, Beitritts-CTA)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Navigation erweitern </w:t>
      </w:r>
      <w:r>
        <w:t xml:space="preserve">(„Circles“ im Header, currentView-Routing ergänzen)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Testen und iterieren </w:t>
      </w:r>
      <w:r>
        <w:t xml:space="preserve">(im Browser öffnen, Flows durchklicken, Feedback einarbeiten)</w:t>
      </w:r>
    </w:p>
    <w:p>
      <w:pPr>
        <w:pStyle w:val="Heading1"/>
      </w:pPr>
      <w:r>
        <w:rPr>
          <w:b/>
          <w:bCs/>
        </w:rPr>
        <w:t xml:space="preserve">8. Relevante Dateien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impact-collective-clickdummy Kopie.html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Aktuelle Arbeitsdatei (DIESE BEARBEITEN!)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impact-collective-clickdummy-BACKUP-2026-02-14.html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Sicherungskopie vor Verbände-Änderungen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impact-collective-startseite.jsx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JSX-Version (NICHT direkt im Browser öffnbar)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impact-collective-clickdummy.html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Generierte HTML-Version (veraltet, nicht verwenden)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CC0000"/>
        </w:rPr>
        <w:t xml:space="preserve">WICHTIG: </w:t>
      </w:r>
      <w:r>
        <w:t xml:space="preserve">Alle Änderungen müssen in </w:t>
      </w:r>
      <w:r>
        <w:rPr>
          <w:b/>
          <w:bCs/>
        </w:rPr>
        <w:t xml:space="preserve">impact-collective-clickdummy Kopie.html</w:t>
      </w:r>
      <w:r>
        <w:t xml:space="preserve"> gemacht werden. Diese Datei ist eine standalone-HTML mit React 18, Babel und Tailwind via CDN. Sie kann direkt im Browser geöffnet werden.</w:t>
      </w:r>
    </w:p>
    <w:p>
      <w:pPr>
        <w:pStyle w:val="Heading1"/>
      </w:pPr>
      <w:r>
        <w:rPr>
          <w:b/>
          <w:bCs/>
        </w:rPr>
        <w:t xml:space="preserve">9. Design-Hinweise</w:t>
      </w:r>
    </w:p>
    <w:p>
      <w:pPr>
        <w:pStyle w:val="ListParagraph"/>
        <w:numPr>
          <w:ilvl w:val="0"/>
          <w:numId w:val="2"/>
        </w:numPr>
      </w:pPr>
      <w:r>
        <w:t xml:space="preserve">PHINEO-Farben: #20383A (Primär), #45B4C6 (Cyan), #67DE93 (Grün)</w:t>
      </w:r>
    </w:p>
    <w:p>
      <w:pPr>
        <w:pStyle w:val="ListParagraph"/>
        <w:numPr>
          <w:ilvl w:val="0"/>
          <w:numId w:val="2"/>
        </w:numPr>
      </w:pPr>
      <w:r>
        <w:t xml:space="preserve">Schrift: Georgia (serif) für Überschriften, System-Font für Fließtext</w:t>
      </w:r>
    </w:p>
    <w:p>
      <w:pPr>
        <w:pStyle w:val="ListParagraph"/>
        <w:numPr>
          <w:ilvl w:val="0"/>
          <w:numId w:val="2"/>
        </w:numPr>
      </w:pPr>
      <w:r>
        <w:t xml:space="preserve">Animationen: fadeSlideUp und pulse sind bereits als CSS-Keyframes definiert</w:t>
      </w:r>
    </w:p>
    <w:p>
      <w:pPr>
        <w:pStyle w:val="ListParagraph"/>
        <w:numPr>
          <w:ilvl w:val="0"/>
          <w:numId w:val="2"/>
        </w:numPr>
      </w:pPr>
      <w:r>
        <w:t xml:space="preserve">Bestehende Patterns: currentView für SPA-Routing, step-State für Multi-Step-Flows</w:t>
      </w:r>
    </w:p>
    <w:p>
      <w:pPr>
        <w:pStyle w:val="ListParagraph"/>
        <w:numPr>
          <w:ilvl w:val="0"/>
          <w:numId w:val="2"/>
        </w:numPr>
      </w:pPr>
      <w:r>
        <w:t xml:space="preserve">Kategorie-Farben für Verbände: bg #5B8C5A, light #EDF5ED, text #2E4A2E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PHINEO gAG </w:t>
    </w:r>
    <w:r>
      <w:rPr>
        <w:rFonts w:ascii="Arial" w:cs="Arial" w:eastAsia="Arial" w:hAnsi="Arial"/>
        <w:color w:val="999999"/>
        <w:sz w:val="16"/>
        <w:szCs w:val="16"/>
      </w:rPr>
      <w:t xml:space="preserve">|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b/>
        <w:bCs/>
        <w:color w:val="20383A"/>
        <w:sz w:val="18"/>
        <w:szCs w:val="18"/>
      </w:rPr>
      <w:t xml:space="preserve">Impact Collective </w:t>
    </w:r>
    <w:r>
      <w:rPr>
        <w:rFonts w:ascii="Arial" w:cs="Arial" w:eastAsia="Arial" w:hAnsi="Arial"/>
        <w:color w:val="999999"/>
        <w:sz w:val="18"/>
        <w:szCs w:val="18"/>
      </w:rPr>
      <w:t xml:space="preserve">| </w:t>
    </w:r>
    <w:r>
      <w:rPr>
        <w:rFonts w:ascii="Arial" w:cs="Arial" w:eastAsia="Arial" w:hAnsi="Arial"/>
        <w:color w:val="999999"/>
        <w:sz w:val="18"/>
        <w:szCs w:val="18"/>
      </w:rPr>
      <w:t xml:space="preserve">Circle-Feature: </w:t>
    </w:r>
    <w:r>
      <w:rPr>
        <w:rFonts w:ascii="Arial" w:cs="Arial" w:eastAsia="Arial" w:hAnsi="Arial"/>
        <w:color w:val="45B4C6"/>
        <w:sz w:val="18"/>
        <w:szCs w:val="18"/>
      </w:rPr>
      <w:t xml:space="preserve">Übergabeprotokoll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038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038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5B4C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2026-02-14T22:09:06.433Z</dcterms:created>
  <dcterms:modified xsi:type="dcterms:W3CDTF">2026-02-14T22:09:06.433Z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