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ESBL-PE Predictor — Model Performance Report</w:t>
      </w:r>
    </w:p>
    <w:p>
      <w:r>
        <w:rPr>
          <w:b w:val="0"/>
          <w:i/>
          <w:sz w:val="22"/>
        </w:rPr>
        <w:t>Mbarara Regional Referral Hospital, Uganda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t>1. Introduction</w:t>
      </w:r>
    </w:p>
    <w:p>
      <w:r>
        <w:rPr>
          <w:b w:val="0"/>
          <w:i w:val="0"/>
          <w:sz w:val="22"/>
        </w:rPr>
        <w:t>This document presents the full model performance documentation for the ESBL-PE Predictor — a machine learning tool developed to identify cancer patients at risk of infection with Extended-Spectrum Beta-Lactamase-Producing Enterobacteriaceae (ESBL-PE) during empirical treatment at Mbarara Regional Referral Hospital (MRRH), Uganda.</w:t>
      </w:r>
    </w:p>
    <w:p>
      <w:pPr>
        <w:pStyle w:val="Heading1"/>
      </w:pPr>
      <w:r>
        <w:t>2. Dataset &amp; Split Summary</w:t>
      </w:r>
    </w:p>
    <w:p>
      <w:r>
        <w:rPr>
          <w:b w:val="0"/>
          <w:i w:val="0"/>
          <w:sz w:val="22"/>
        </w:rPr>
        <w:t>The full dataset contains 1,569 patients from MRRH. Only the 660 labelled rows (confirmed ESBL culture result) were used for model training and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AF6"/>
          </w:tcPr>
          <w:p>
            <w:r>
              <w:t>Split</w:t>
            </w:r>
          </w:p>
        </w:tc>
        <w:tc>
          <w:tcPr>
            <w:tcW w:type="dxa" w:w="1728"/>
            <w:shd w:val="clear" w:color="auto" w:fill="E8EAF6"/>
          </w:tcPr>
          <w:p>
            <w:r>
              <w:t>Rows</w:t>
            </w:r>
          </w:p>
        </w:tc>
        <w:tc>
          <w:tcPr>
            <w:tcW w:type="dxa" w:w="1728"/>
            <w:shd w:val="clear" w:color="auto" w:fill="E8EAF6"/>
          </w:tcPr>
          <w:p>
            <w:r>
              <w:t>ESBL+ (n)</w:t>
            </w:r>
          </w:p>
        </w:tc>
        <w:tc>
          <w:tcPr>
            <w:tcW w:type="dxa" w:w="1728"/>
            <w:shd w:val="clear" w:color="auto" w:fill="E8EAF6"/>
          </w:tcPr>
          <w:p>
            <w:r>
              <w:t>ESBL- (n)</w:t>
            </w:r>
          </w:p>
        </w:tc>
        <w:tc>
          <w:tcPr>
            <w:tcW w:type="dxa" w:w="1728"/>
            <w:shd w:val="clear" w:color="auto" w:fill="E8EAF6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Full cohort</w:t>
            </w:r>
          </w:p>
        </w:tc>
        <w:tc>
          <w:tcPr>
            <w:tcW w:type="dxa" w:w="1728"/>
          </w:tcPr>
          <w:p>
            <w:r>
              <w:t>1,569</w:t>
            </w:r>
          </w:p>
        </w:tc>
        <w:tc>
          <w:tcPr>
            <w:tcW w:type="dxa" w:w="1728"/>
          </w:tcPr>
          <w:p>
            <w:r>
              <w:t>281 (17.9%)</w:t>
            </w:r>
          </w:p>
        </w:tc>
        <w:tc>
          <w:tcPr>
            <w:tcW w:type="dxa" w:w="1728"/>
          </w:tcPr>
          <w:p>
            <w:r>
              <w:t>379 (24.2%)</w:t>
            </w:r>
          </w:p>
        </w:tc>
        <w:tc>
          <w:tcPr>
            <w:tcW w:type="dxa" w:w="1728"/>
          </w:tcPr>
          <w:p>
            <w:r>
              <w:t>909 unlabelled — no culture result</w:t>
            </w:r>
          </w:p>
        </w:tc>
      </w:tr>
      <w:tr>
        <w:tc>
          <w:tcPr>
            <w:tcW w:type="dxa" w:w="1728"/>
          </w:tcPr>
          <w:p>
            <w:r>
              <w:t>Labelled set</w:t>
            </w:r>
          </w:p>
        </w:tc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281 (42.6%)</w:t>
            </w:r>
          </w:p>
        </w:tc>
        <w:tc>
          <w:tcPr>
            <w:tcW w:type="dxa" w:w="1728"/>
          </w:tcPr>
          <w:p>
            <w:r>
              <w:t>379 (57.4%)</w:t>
            </w:r>
          </w:p>
        </w:tc>
        <w:tc>
          <w:tcPr>
            <w:tcW w:type="dxa" w:w="1728"/>
          </w:tcPr>
          <w:p>
            <w:r>
              <w:t>Used for modelling</w:t>
            </w:r>
          </w:p>
        </w:tc>
      </w:tr>
      <w:tr>
        <w:tc>
          <w:tcPr>
            <w:tcW w:type="dxa" w:w="1728"/>
          </w:tcPr>
          <w:p>
            <w:r>
              <w:t>Train (pre-aug)</w:t>
            </w:r>
          </w:p>
        </w:tc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70% stratified split</w:t>
            </w:r>
          </w:p>
        </w:tc>
      </w:tr>
      <w:tr>
        <w:tc>
          <w:tcPr>
            <w:tcW w:type="dxa" w:w="1728"/>
          </w:tcPr>
          <w:p>
            <w:r>
              <w:t>Train (post-SMOTE)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After SMOTE on train only</w:t>
            </w:r>
          </w:p>
        </w:tc>
      </w:tr>
      <w:tr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15% — model selection</w:t>
            </w:r>
          </w:p>
        </w:tc>
      </w:tr>
      <w:t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15% — held out, used once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Note: SMOTE (Synthetic Minority Over-sampling Technique) was applied only to the training split. Validation and test sets reflect the true clinical class distribution.</w:t>
      </w:r>
    </w:p>
    <w:p>
      <w:pPr>
        <w:pStyle w:val="Heading1"/>
      </w:pPr>
      <w:r>
        <w:t>3. Metric Definitions</w:t>
      </w:r>
    </w:p>
    <w:p>
      <w:r>
        <w:rPr>
          <w:b w:val="0"/>
          <w:i w:val="0"/>
          <w:sz w:val="22"/>
        </w:rPr>
        <w:t>The following metrics are reported across training, validation, and test splits: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AF6"/>
          </w:tcPr>
          <w:p>
            <w:r>
              <w:t>Metric</w:t>
            </w:r>
          </w:p>
        </w:tc>
        <w:tc>
          <w:tcPr>
            <w:tcW w:type="dxa" w:w="4320"/>
            <w:shd w:val="clear" w:color="auto" w:fill="E8EAF6"/>
          </w:tcPr>
          <w:p>
            <w:r>
              <w:t>Definition &amp; Clinical Meaning</w:t>
            </w:r>
          </w:p>
        </w:tc>
      </w:tr>
      <w:tr>
        <w:tc>
          <w:tcPr>
            <w:tcW w:type="dxa" w:w="4320"/>
          </w:tcPr>
          <w:p>
            <w:r>
              <w:t>AUROC</w:t>
            </w:r>
          </w:p>
        </w:tc>
        <w:tc>
          <w:tcPr>
            <w:tcW w:type="dxa" w:w="4320"/>
          </w:tcPr>
          <w:p>
            <w:r>
              <w:t>Area under the ROC curve. Probability the model ranks a random ESBL+ patient higher than a random ESBL- patient. Values ≥0.80 indicate strong discrimination.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Overall proportion of correct predictions. Can be misleading with class imbalance.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Of patients flagged as ESBL+, what fraction truly are. High precision → fewer unnecessary broad-spectrum treatments.</w:t>
            </w:r>
          </w:p>
        </w:tc>
      </w:tr>
      <w:tr>
        <w:tc>
          <w:tcPr>
            <w:tcW w:type="dxa" w:w="4320"/>
          </w:tcPr>
          <w:p>
            <w:r>
              <w:t>Recall (Sensitivity)</w:t>
            </w:r>
          </w:p>
        </w:tc>
        <w:tc>
          <w:tcPr>
            <w:tcW w:type="dxa" w:w="4320"/>
          </w:tcPr>
          <w:p>
            <w:r>
              <w:t>Of all true ESBL+ patients, what fraction are correctly identified. High recall → fewer missed cases. Critical for patient safety.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Harmonic mean of Precision and Recall. Balances both concerns.</w:t>
            </w:r>
          </w:p>
        </w:tc>
      </w:tr>
      <w:tr>
        <w:tc>
          <w:tcPr>
            <w:tcW w:type="dxa" w:w="4320"/>
          </w:tcPr>
          <w:p>
            <w:r>
              <w:t>MCC</w:t>
            </w:r>
          </w:p>
        </w:tc>
        <w:tc>
          <w:tcPr>
            <w:tcW w:type="dxa" w:w="4320"/>
          </w:tcPr>
          <w:p>
            <w:r>
              <w:t>Matthews Correlation Coefficient. Ranges -1 to +1. The most informative single metric for binary classification on imbalanced data.</w:t>
            </w:r>
          </w:p>
        </w:tc>
      </w:tr>
    </w:tbl>
    <w:p>
      <w:pPr>
        <w:pStyle w:val="Heading1"/>
      </w:pPr>
      <w:r>
        <w:t>4. Classification Metrics — All Models</w:t>
      </w:r>
    </w:p>
    <w:p>
      <w:r>
        <w:rPr>
          <w:b w:val="0"/>
          <w:i w:val="0"/>
          <w:sz w:val="22"/>
        </w:rPr>
        <w:t>Metrics are reported for each model on training, validation, and test splits. ★ = best model (Logistic Regression). Green-highlighted rows = test set of best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8EAF6"/>
          </w:tcPr>
          <w:p>
            <w:r>
              <w:t>Model</w:t>
            </w:r>
          </w:p>
        </w:tc>
        <w:tc>
          <w:tcPr>
            <w:tcW w:type="dxa" w:w="1080"/>
            <w:shd w:val="clear" w:color="auto" w:fill="E8EAF6"/>
          </w:tcPr>
          <w:p>
            <w:r>
              <w:t>Split</w:t>
            </w:r>
          </w:p>
        </w:tc>
        <w:tc>
          <w:tcPr>
            <w:tcW w:type="dxa" w:w="1080"/>
            <w:shd w:val="clear" w:color="auto" w:fill="E8EAF6"/>
          </w:tcPr>
          <w:p>
            <w:r>
              <w:t>AUROC</w:t>
            </w:r>
          </w:p>
        </w:tc>
        <w:tc>
          <w:tcPr>
            <w:tcW w:type="dxa" w:w="1080"/>
            <w:shd w:val="clear" w:color="auto" w:fill="E8EAF6"/>
          </w:tcPr>
          <w:p>
            <w:r>
              <w:t>Accuracy</w:t>
            </w:r>
          </w:p>
        </w:tc>
        <w:tc>
          <w:tcPr>
            <w:tcW w:type="dxa" w:w="1080"/>
            <w:shd w:val="clear" w:color="auto" w:fill="E8EAF6"/>
          </w:tcPr>
          <w:p>
            <w:r>
              <w:t>Precision</w:t>
            </w:r>
          </w:p>
        </w:tc>
        <w:tc>
          <w:tcPr>
            <w:tcW w:type="dxa" w:w="1080"/>
            <w:shd w:val="clear" w:color="auto" w:fill="E8EAF6"/>
          </w:tcPr>
          <w:p>
            <w:r>
              <w:t>Recall</w:t>
            </w:r>
          </w:p>
        </w:tc>
        <w:tc>
          <w:tcPr>
            <w:tcW w:type="dxa" w:w="1080"/>
            <w:shd w:val="clear" w:color="auto" w:fill="E8EAF6"/>
          </w:tcPr>
          <w:p>
            <w:r>
              <w:t>F1</w:t>
            </w:r>
          </w:p>
        </w:tc>
        <w:tc>
          <w:tcPr>
            <w:tcW w:type="dxa" w:w="1080"/>
            <w:shd w:val="clear" w:color="auto" w:fill="E8EAF6"/>
          </w:tcPr>
          <w:p>
            <w:r>
              <w:t>MCC</w:t>
            </w:r>
          </w:p>
        </w:tc>
      </w:tr>
      <w:tr>
        <w:tc>
          <w:tcPr>
            <w:tcW w:type="dxa" w:w="1080"/>
          </w:tcPr>
          <w:p>
            <w:r>
              <w:t>Logistic Regression</w:t>
            </w:r>
          </w:p>
        </w:tc>
        <w:tc>
          <w:tcPr>
            <w:tcW w:type="dxa" w:w="1080"/>
          </w:tcPr>
          <w:p>
            <w:r>
              <w:t>Train</w:t>
            </w:r>
          </w:p>
        </w:tc>
        <w:tc>
          <w:tcPr>
            <w:tcW w:type="dxa" w:w="1080"/>
          </w:tcPr>
          <w:p>
            <w:r>
              <w:t>0.9688</w:t>
            </w:r>
          </w:p>
        </w:tc>
        <w:tc>
          <w:tcPr>
            <w:tcW w:type="dxa" w:w="1080"/>
          </w:tcPr>
          <w:p>
            <w:r>
              <w:t>91.1%</w:t>
            </w:r>
          </w:p>
        </w:tc>
        <w:tc>
          <w:tcPr>
            <w:tcW w:type="dxa" w:w="1080"/>
          </w:tcPr>
          <w:p>
            <w:r>
              <w:t>91.1%</w:t>
            </w:r>
          </w:p>
        </w:tc>
        <w:tc>
          <w:tcPr>
            <w:tcW w:type="dxa" w:w="1080"/>
          </w:tcPr>
          <w:p>
            <w:r>
              <w:t>91.1%</w:t>
            </w:r>
          </w:p>
        </w:tc>
        <w:tc>
          <w:tcPr>
            <w:tcW w:type="dxa" w:w="1080"/>
          </w:tcPr>
          <w:p>
            <w:r>
              <w:t>91.1%</w:t>
            </w:r>
          </w:p>
        </w:tc>
        <w:tc>
          <w:tcPr>
            <w:tcW w:type="dxa" w:w="1080"/>
          </w:tcPr>
          <w:p>
            <w:r>
              <w:t>0.8176</w:t>
            </w:r>
          </w:p>
        </w:tc>
      </w:tr>
      <w:tr>
        <w:tc>
          <w:tcPr>
            <w:tcW w:type="dxa" w:w="1080"/>
          </w:tcPr>
          <w:p>
            <w:r>
              <w:t>Logistic Regression</w:t>
            </w:r>
          </w:p>
        </w:tc>
        <w:tc>
          <w:tcPr>
            <w:tcW w:type="dxa" w:w="1080"/>
          </w:tcPr>
          <w:p>
            <w:r>
              <w:t>Val</w:t>
            </w:r>
          </w:p>
        </w:tc>
        <w:tc>
          <w:tcPr>
            <w:tcW w:type="dxa" w:w="1080"/>
          </w:tcPr>
          <w:p>
            <w:r>
              <w:t>0.9248</w:t>
            </w:r>
          </w:p>
        </w:tc>
        <w:tc>
          <w:tcPr>
            <w:tcW w:type="dxa" w:w="1080"/>
          </w:tcPr>
          <w:p>
            <w:r>
              <w:t>82.8%</w:t>
            </w:r>
          </w:p>
        </w:tc>
        <w:tc>
          <w:tcPr>
            <w:tcW w:type="dxa" w:w="1080"/>
          </w:tcPr>
          <w:p>
            <w:r>
              <w:t>83.1%</w:t>
            </w:r>
          </w:p>
        </w:tc>
        <w:tc>
          <w:tcPr>
            <w:tcW w:type="dxa" w:w="1080"/>
          </w:tcPr>
          <w:p>
            <w:r>
              <w:t>82.8%</w:t>
            </w:r>
          </w:p>
        </w:tc>
        <w:tc>
          <w:tcPr>
            <w:tcW w:type="dxa" w:w="1080"/>
          </w:tcPr>
          <w:p>
            <w:r>
              <w:t>82.5%</w:t>
            </w:r>
          </w:p>
        </w:tc>
        <w:tc>
          <w:tcPr>
            <w:tcW w:type="dxa" w:w="1080"/>
          </w:tcPr>
          <w:p>
            <w:r>
              <w:t>0.6477</w:t>
            </w:r>
          </w:p>
        </w:tc>
      </w:tr>
      <w:tr>
        <w:tc>
          <w:tcPr>
            <w:tcW w:type="dxa" w:w="1080"/>
            <w:shd w:val="clear" w:color="auto" w:fill="C8E6C9"/>
          </w:tcPr>
          <w:p>
            <w:r>
              <w:t>Logistic Regression ★</w:t>
            </w:r>
          </w:p>
        </w:tc>
        <w:tc>
          <w:tcPr>
            <w:tcW w:type="dxa" w:w="1080"/>
            <w:shd w:val="clear" w:color="auto" w:fill="C8E6C9"/>
          </w:tcPr>
          <w:p>
            <w:r>
              <w:t>Test</w:t>
            </w:r>
          </w:p>
        </w:tc>
        <w:tc>
          <w:tcPr>
            <w:tcW w:type="dxa" w:w="1080"/>
            <w:shd w:val="clear" w:color="auto" w:fill="C8E6C9"/>
          </w:tcPr>
          <w:p>
            <w:r>
              <w:t>0.9062</w:t>
            </w:r>
          </w:p>
        </w:tc>
        <w:tc>
          <w:tcPr>
            <w:tcW w:type="dxa" w:w="1080"/>
            <w:shd w:val="clear" w:color="auto" w:fill="C8E6C9"/>
          </w:tcPr>
          <w:p>
            <w:r>
              <w:t>82.0%</w:t>
            </w:r>
          </w:p>
        </w:tc>
        <w:tc>
          <w:tcPr>
            <w:tcW w:type="dxa" w:w="1080"/>
            <w:shd w:val="clear" w:color="auto" w:fill="C8E6C9"/>
          </w:tcPr>
          <w:p>
            <w:r>
              <w:t>82.0%</w:t>
            </w:r>
          </w:p>
        </w:tc>
        <w:tc>
          <w:tcPr>
            <w:tcW w:type="dxa" w:w="1080"/>
            <w:shd w:val="clear" w:color="auto" w:fill="C8E6C9"/>
          </w:tcPr>
          <w:p>
            <w:r>
              <w:t>82.0%</w:t>
            </w:r>
          </w:p>
        </w:tc>
        <w:tc>
          <w:tcPr>
            <w:tcW w:type="dxa" w:w="1080"/>
            <w:shd w:val="clear" w:color="auto" w:fill="C8E6C9"/>
          </w:tcPr>
          <w:p>
            <w:r>
              <w:t>82.0%</w:t>
            </w:r>
          </w:p>
        </w:tc>
        <w:tc>
          <w:tcPr>
            <w:tcW w:type="dxa" w:w="1080"/>
            <w:shd w:val="clear" w:color="auto" w:fill="C8E6C9"/>
          </w:tcPr>
          <w:p>
            <w:r>
              <w:t>0.6328</w:t>
            </w:r>
          </w:p>
        </w:tc>
      </w:tr>
      <w:tr>
        <w:tc>
          <w:tcPr>
            <w:tcW w:type="dxa" w:w="1080"/>
          </w:tcPr>
          <w:p>
            <w:r>
              <w:t>Random Forest</w:t>
            </w:r>
          </w:p>
        </w:tc>
        <w:tc>
          <w:tcPr>
            <w:tcW w:type="dxa" w:w="1080"/>
          </w:tcPr>
          <w:p>
            <w:r>
              <w:t>Train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</w:tr>
      <w:tr>
        <w:tc>
          <w:tcPr>
            <w:tcW w:type="dxa" w:w="1080"/>
          </w:tcPr>
          <w:p>
            <w:r>
              <w:t>Random Forest</w:t>
            </w:r>
          </w:p>
        </w:tc>
        <w:tc>
          <w:tcPr>
            <w:tcW w:type="dxa" w:w="1080"/>
          </w:tcPr>
          <w:p>
            <w:r>
              <w:t>Val</w:t>
            </w:r>
          </w:p>
        </w:tc>
        <w:tc>
          <w:tcPr>
            <w:tcW w:type="dxa" w:w="1080"/>
          </w:tcPr>
          <w:p>
            <w:r>
              <w:t>0.9089</w:t>
            </w:r>
          </w:p>
        </w:tc>
        <w:tc>
          <w:tcPr>
            <w:tcW w:type="dxa" w:w="1080"/>
          </w:tcPr>
          <w:p>
            <w:r>
              <w:t>79.8%</w:t>
            </w:r>
          </w:p>
        </w:tc>
        <w:tc>
          <w:tcPr>
            <w:tcW w:type="dxa" w:w="1080"/>
          </w:tcPr>
          <w:p>
            <w:r>
              <w:t>81.0%</w:t>
            </w:r>
          </w:p>
        </w:tc>
        <w:tc>
          <w:tcPr>
            <w:tcW w:type="dxa" w:w="1080"/>
          </w:tcPr>
          <w:p>
            <w:r>
              <w:t>79.8%</w:t>
            </w:r>
          </w:p>
        </w:tc>
        <w:tc>
          <w:tcPr>
            <w:tcW w:type="dxa" w:w="1080"/>
          </w:tcPr>
          <w:p>
            <w:r>
              <w:t>79.1%</w:t>
            </w:r>
          </w:p>
        </w:tc>
        <w:tc>
          <w:tcPr>
            <w:tcW w:type="dxa" w:w="1080"/>
          </w:tcPr>
          <w:p>
            <w:r>
              <w:t>0.5903</w:t>
            </w:r>
          </w:p>
        </w:tc>
      </w:tr>
      <w:tr>
        <w:tc>
          <w:tcPr>
            <w:tcW w:type="dxa" w:w="1080"/>
          </w:tcPr>
          <w:p>
            <w:r>
              <w:t>Random Forest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0.8605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79.9%</w:t>
            </w:r>
          </w:p>
        </w:tc>
        <w:tc>
          <w:tcPr>
            <w:tcW w:type="dxa" w:w="1080"/>
          </w:tcPr>
          <w:p>
            <w:r>
              <w:t>0.5893</w:t>
            </w:r>
          </w:p>
        </w:tc>
      </w:tr>
      <w:tr>
        <w:tc>
          <w:tcPr>
            <w:tcW w:type="dxa" w:w="1080"/>
          </w:tcPr>
          <w:p>
            <w:r>
              <w:t>XGBoost</w:t>
            </w:r>
          </w:p>
        </w:tc>
        <w:tc>
          <w:tcPr>
            <w:tcW w:type="dxa" w:w="1080"/>
          </w:tcPr>
          <w:p>
            <w:r>
              <w:t>Train</w:t>
            </w:r>
          </w:p>
        </w:tc>
        <w:tc>
          <w:tcPr>
            <w:tcW w:type="dxa" w:w="1080"/>
          </w:tcPr>
          <w:p>
            <w:r>
              <w:t>0.9996</w:t>
            </w:r>
          </w:p>
        </w:tc>
        <w:tc>
          <w:tcPr>
            <w:tcW w:type="dxa" w:w="1080"/>
          </w:tcPr>
          <w:p>
            <w:r>
              <w:t>98.9%</w:t>
            </w:r>
          </w:p>
        </w:tc>
        <w:tc>
          <w:tcPr>
            <w:tcW w:type="dxa" w:w="1080"/>
          </w:tcPr>
          <w:p>
            <w:r>
              <w:t>98.9%</w:t>
            </w:r>
          </w:p>
        </w:tc>
        <w:tc>
          <w:tcPr>
            <w:tcW w:type="dxa" w:w="1080"/>
          </w:tcPr>
          <w:p>
            <w:r>
              <w:t>98.9%</w:t>
            </w:r>
          </w:p>
        </w:tc>
        <w:tc>
          <w:tcPr>
            <w:tcW w:type="dxa" w:w="1080"/>
          </w:tcPr>
          <w:p>
            <w:r>
              <w:t>98.9%</w:t>
            </w:r>
          </w:p>
        </w:tc>
        <w:tc>
          <w:tcPr>
            <w:tcW w:type="dxa" w:w="1080"/>
          </w:tcPr>
          <w:p>
            <w:r>
              <w:t>0.9780</w:t>
            </w:r>
          </w:p>
        </w:tc>
      </w:tr>
      <w:tr>
        <w:tc>
          <w:tcPr>
            <w:tcW w:type="dxa" w:w="1080"/>
          </w:tcPr>
          <w:p>
            <w:r>
              <w:t>XGBoost</w:t>
            </w:r>
          </w:p>
        </w:tc>
        <w:tc>
          <w:tcPr>
            <w:tcW w:type="dxa" w:w="1080"/>
          </w:tcPr>
          <w:p>
            <w:r>
              <w:t>Val</w:t>
            </w:r>
          </w:p>
        </w:tc>
        <w:tc>
          <w:tcPr>
            <w:tcW w:type="dxa" w:w="1080"/>
          </w:tcPr>
          <w:p>
            <w:r>
              <w:t>0.9198</w:t>
            </w:r>
          </w:p>
        </w:tc>
        <w:tc>
          <w:tcPr>
            <w:tcW w:type="dxa" w:w="1080"/>
          </w:tcPr>
          <w:p>
            <w:r>
              <w:t>85.9%</w:t>
            </w:r>
          </w:p>
        </w:tc>
        <w:tc>
          <w:tcPr>
            <w:tcW w:type="dxa" w:w="1080"/>
          </w:tcPr>
          <w:p>
            <w:r>
              <w:t>87.0%</w:t>
            </w:r>
          </w:p>
        </w:tc>
        <w:tc>
          <w:tcPr>
            <w:tcW w:type="dxa" w:w="1080"/>
          </w:tcPr>
          <w:p>
            <w:r>
              <w:t>85.9%</w:t>
            </w:r>
          </w:p>
        </w:tc>
        <w:tc>
          <w:tcPr>
            <w:tcW w:type="dxa" w:w="1080"/>
          </w:tcPr>
          <w:p>
            <w:r>
              <w:t>85.5%</w:t>
            </w:r>
          </w:p>
        </w:tc>
        <w:tc>
          <w:tcPr>
            <w:tcW w:type="dxa" w:w="1080"/>
          </w:tcPr>
          <w:p>
            <w:r>
              <w:t>0.7177</w:t>
            </w:r>
          </w:p>
        </w:tc>
      </w:tr>
      <w:tr>
        <w:tc>
          <w:tcPr>
            <w:tcW w:type="dxa" w:w="1080"/>
          </w:tcPr>
          <w:p>
            <w:r>
              <w:t>XGBoost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0.8862</w:t>
            </w:r>
          </w:p>
        </w:tc>
        <w:tc>
          <w:tcPr>
            <w:tcW w:type="dxa" w:w="1080"/>
          </w:tcPr>
          <w:p>
            <w:r>
              <w:t>78.0%</w:t>
            </w:r>
          </w:p>
        </w:tc>
        <w:tc>
          <w:tcPr>
            <w:tcW w:type="dxa" w:w="1080"/>
          </w:tcPr>
          <w:p>
            <w:r>
              <w:t>77.9%</w:t>
            </w:r>
          </w:p>
        </w:tc>
        <w:tc>
          <w:tcPr>
            <w:tcW w:type="dxa" w:w="1080"/>
          </w:tcPr>
          <w:p>
            <w:r>
              <w:t>78.0%</w:t>
            </w:r>
          </w:p>
        </w:tc>
        <w:tc>
          <w:tcPr>
            <w:tcW w:type="dxa" w:w="1080"/>
          </w:tcPr>
          <w:p>
            <w:r>
              <w:t>77.8%</w:t>
            </w:r>
          </w:p>
        </w:tc>
        <w:tc>
          <w:tcPr>
            <w:tcW w:type="dxa" w:w="1080"/>
          </w:tcPr>
          <w:p>
            <w:r>
              <w:t>0.5479</w:t>
            </w:r>
          </w:p>
        </w:tc>
      </w:tr>
    </w:tbl>
    <w:p>
      <w:pPr>
        <w:pStyle w:val="Heading1"/>
      </w:pPr>
      <w:r>
        <w:t>5. Cross-Validation Results (5-Fold)</w:t>
      </w:r>
    </w:p>
    <w:p>
      <w:r>
        <w:rPr>
          <w:b w:val="0"/>
          <w:i w:val="0"/>
          <w:sz w:val="22"/>
        </w:rPr>
        <w:t>5-fold stratified cross-validation on the augmented training data. A low standard deviation indicates a robust, consistent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AF6"/>
          </w:tcPr>
          <w:p>
            <w:r>
              <w:t>Model</w:t>
            </w:r>
          </w:p>
        </w:tc>
        <w:tc>
          <w:tcPr>
            <w:tcW w:type="dxa" w:w="2160"/>
            <w:shd w:val="clear" w:color="auto" w:fill="E8EAF6"/>
          </w:tcPr>
          <w:p>
            <w:r>
              <w:t>Mean AUROC</w:t>
            </w:r>
          </w:p>
        </w:tc>
        <w:tc>
          <w:tcPr>
            <w:tcW w:type="dxa" w:w="2160"/>
            <w:shd w:val="clear" w:color="auto" w:fill="E8EAF6"/>
          </w:tcPr>
          <w:p>
            <w:r>
              <w:t>Std Dev</w:t>
            </w:r>
          </w:p>
        </w:tc>
        <w:tc>
          <w:tcPr>
            <w:tcW w:type="dxa" w:w="2160"/>
            <w:shd w:val="clear" w:color="auto" w:fill="E8EAF6"/>
          </w:tcPr>
          <w:p>
            <w:r>
              <w:t>Approx. 95% CI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0.9253</w:t>
            </w:r>
          </w:p>
        </w:tc>
        <w:tc>
          <w:tcPr>
            <w:tcW w:type="dxa" w:w="2160"/>
          </w:tcPr>
          <w:p>
            <w:r>
              <w:t>± 0.0097</w:t>
            </w:r>
          </w:p>
        </w:tc>
        <w:tc>
          <w:tcPr>
            <w:tcW w:type="dxa" w:w="2160"/>
          </w:tcPr>
          <w:p>
            <w:r>
              <w:t>0.9157 – 0.9350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0.9377</w:t>
            </w:r>
          </w:p>
        </w:tc>
        <w:tc>
          <w:tcPr>
            <w:tcW w:type="dxa" w:w="2160"/>
          </w:tcPr>
          <w:p>
            <w:r>
              <w:t>± 0.0105</w:t>
            </w:r>
          </w:p>
        </w:tc>
        <w:tc>
          <w:tcPr>
            <w:tcW w:type="dxa" w:w="2160"/>
          </w:tcPr>
          <w:p>
            <w:r>
              <w:t>0.9272 – 0.9482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0.9296</w:t>
            </w:r>
          </w:p>
        </w:tc>
        <w:tc>
          <w:tcPr>
            <w:tcW w:type="dxa" w:w="2160"/>
          </w:tcPr>
          <w:p>
            <w:r>
              <w:t>± 0.0187</w:t>
            </w:r>
          </w:p>
        </w:tc>
        <w:tc>
          <w:tcPr>
            <w:tcW w:type="dxa" w:w="2160"/>
          </w:tcPr>
          <w:p>
            <w:r>
              <w:t>0.9109 – 0.9483</w:t>
            </w:r>
          </w:p>
        </w:tc>
      </w:tr>
    </w:tbl>
    <w:p>
      <w:pPr>
        <w:pStyle w:val="Heading1"/>
      </w:pPr>
      <w:r>
        <w:t>6. ROC Curves — All Models (Test Set)</w:t>
      </w:r>
    </w:p>
    <w:p>
      <w:r>
        <w:rPr>
          <w:b w:val="0"/>
          <w:i w:val="0"/>
          <w:sz w:val="22"/>
        </w:rPr>
        <w:t>The curve closest to the top-left corner indicates the best discrimination.</w:t>
      </w:r>
    </w:p>
    <w:p>
      <w:r>
        <w:drawing>
          <wp:inline xmlns:a="http://schemas.openxmlformats.org/drawingml/2006/main" xmlns:pic="http://schemas.openxmlformats.org/drawingml/2006/picture">
            <wp:extent cx="5029200" cy="3555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Per-Model Evaluation Charts (Test Set)</w:t>
      </w:r>
    </w:p>
    <w:p>
      <w:r>
        <w:rPr>
          <w:b w:val="0"/>
          <w:i w:val="0"/>
          <w:sz w:val="22"/>
        </w:rPr>
        <w:t>Confusion matrix, ROC curve, and Precision-Recall curve for each model. All charts use the held-out test set.</w:t>
      </w:r>
    </w:p>
    <w:p>
      <w:pPr>
        <w:pStyle w:val="Heading2"/>
      </w:pPr>
      <w:r>
        <w:t>7.1. Logistic Regression</w:t>
      </w:r>
    </w:p>
    <w:p>
      <w:r>
        <w:rPr>
          <w:b/>
          <w:i w:val="0"/>
          <w:sz w:val="22"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3474720" cy="2884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8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ROC Curve:</w:t>
      </w:r>
    </w:p>
    <w:p>
      <w:r>
        <w:drawing>
          <wp:inline xmlns:a="http://schemas.openxmlformats.org/drawingml/2006/main" xmlns:pic="http://schemas.openxmlformats.org/drawingml/2006/picture">
            <wp:extent cx="3474720" cy="2750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5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Precision-Recall Curve:</w:t>
      </w:r>
    </w:p>
    <w:p>
      <w:r>
        <w:drawing>
          <wp:inline xmlns:a="http://schemas.openxmlformats.org/drawingml/2006/main" xmlns:pic="http://schemas.openxmlformats.org/drawingml/2006/picture">
            <wp:extent cx="3474720" cy="2750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504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7.2. Random Forest</w:t>
      </w:r>
    </w:p>
    <w:p>
      <w:r>
        <w:rPr>
          <w:b/>
          <w:i w:val="0"/>
          <w:sz w:val="22"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3474720" cy="2884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8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ROC Curve:</w:t>
      </w:r>
    </w:p>
    <w:p>
      <w:r>
        <w:drawing>
          <wp:inline xmlns:a="http://schemas.openxmlformats.org/drawingml/2006/main" xmlns:pic="http://schemas.openxmlformats.org/drawingml/2006/picture">
            <wp:extent cx="3474720" cy="27504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5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Precision-Recall Curve:</w:t>
      </w:r>
    </w:p>
    <w:p>
      <w:r>
        <w:drawing>
          <wp:inline xmlns:a="http://schemas.openxmlformats.org/drawingml/2006/main" xmlns:pic="http://schemas.openxmlformats.org/drawingml/2006/picture">
            <wp:extent cx="3474720" cy="2750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504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7.3. XGBoost</w:t>
      </w:r>
    </w:p>
    <w:p>
      <w:r>
        <w:rPr>
          <w:b/>
          <w:i w:val="0"/>
          <w:sz w:val="22"/>
        </w:rP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3474720" cy="28840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8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ROC Curve:</w:t>
      </w:r>
    </w:p>
    <w:p>
      <w:r>
        <w:drawing>
          <wp:inline xmlns:a="http://schemas.openxmlformats.org/drawingml/2006/main" xmlns:pic="http://schemas.openxmlformats.org/drawingml/2006/picture">
            <wp:extent cx="3474720" cy="2750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5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Precision-Recall Curve:</w:t>
      </w:r>
    </w:p>
    <w:p>
      <w:r>
        <w:drawing>
          <wp:inline xmlns:a="http://schemas.openxmlformats.org/drawingml/2006/main" xmlns:pic="http://schemas.openxmlformats.org/drawingml/2006/picture">
            <wp:extent cx="3474720" cy="27504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7504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Feature Importance — Logistic Regression (Best Model)</w:t>
      </w:r>
    </w:p>
    <w:p>
      <w:r>
        <w:rPr>
          <w:b w:val="0"/>
          <w:i w:val="0"/>
          <w:sz w:val="22"/>
        </w:rPr>
        <w:t>Importance is derived from absolute coefficient magnitudes (Logistic Regression). Direction indicates whether the feature increases (+) or decreases (-) the predicted ESBL risk.</w:t>
      </w:r>
    </w:p>
    <w:p>
      <w:r>
        <w:drawing>
          <wp:inline xmlns:a="http://schemas.openxmlformats.org/drawingml/2006/main" xmlns:pic="http://schemas.openxmlformats.org/drawingml/2006/picture">
            <wp:extent cx="5486400" cy="40648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Top 10 Most Important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AF6"/>
          </w:tcPr>
          <w:p>
            <w:r>
              <w:t>Rank</w:t>
            </w:r>
          </w:p>
        </w:tc>
        <w:tc>
          <w:tcPr>
            <w:tcW w:type="dxa" w:w="1728"/>
            <w:shd w:val="clear" w:color="auto" w:fill="E8EAF6"/>
          </w:tcPr>
          <w:p>
            <w:r>
              <w:t>Feature</w:t>
            </w:r>
          </w:p>
        </w:tc>
        <w:tc>
          <w:tcPr>
            <w:tcW w:type="dxa" w:w="1728"/>
            <w:shd w:val="clear" w:color="auto" w:fill="E8EAF6"/>
          </w:tcPr>
          <w:p>
            <w:r>
              <w:t>Importance</w:t>
            </w:r>
          </w:p>
        </w:tc>
        <w:tc>
          <w:tcPr>
            <w:tcW w:type="dxa" w:w="1728"/>
            <w:shd w:val="clear" w:color="auto" w:fill="E8EAF6"/>
          </w:tcPr>
          <w:p>
            <w:r>
              <w:t>Direction</w:t>
            </w:r>
          </w:p>
        </w:tc>
        <w:tc>
          <w:tcPr>
            <w:tcW w:type="dxa" w:w="1728"/>
            <w:shd w:val="clear" w:color="auto" w:fill="E8EAF6"/>
          </w:tcPr>
          <w:p>
            <w:r>
              <w:t>Magnitude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Pain and tenderness in the stomach</w:t>
            </w:r>
          </w:p>
        </w:tc>
        <w:tc>
          <w:tcPr>
            <w:tcW w:type="dxa" w:w="1728"/>
          </w:tcPr>
          <w:p>
            <w:r>
              <w:t>3.107307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Pain in the lower abdomen, pelvic area, and lower back</w:t>
            </w:r>
          </w:p>
        </w:tc>
        <w:tc>
          <w:tcPr>
            <w:tcW w:type="dxa" w:w="1728"/>
          </w:tcPr>
          <w:p>
            <w:r>
              <w:t>2.170432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Difficulty in breathing</w:t>
            </w:r>
          </w:p>
        </w:tc>
        <w:tc>
          <w:tcPr>
            <w:tcW w:type="dxa" w:w="1728"/>
          </w:tcPr>
          <w:p>
            <w:r>
              <w:t>2.014378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Cough</w:t>
            </w:r>
          </w:p>
        </w:tc>
        <w:tc>
          <w:tcPr>
            <w:tcW w:type="dxa" w:w="1728"/>
          </w:tcPr>
          <w:p>
            <w:r>
              <w:t>2.002662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malaise</w:t>
            </w:r>
          </w:p>
        </w:tc>
        <w:tc>
          <w:tcPr>
            <w:tcW w:type="dxa" w:w="1728"/>
          </w:tcPr>
          <w:p>
            <w:r>
              <w:t>1.873356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Neck stiffness</w:t>
            </w:r>
          </w:p>
        </w:tc>
        <w:tc>
          <w:tcPr>
            <w:tcW w:type="dxa" w:w="1728"/>
          </w:tcPr>
          <w:p>
            <w:r>
              <w:t>1.837106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Skin wound that is red, hot, swollen, or has pus or soreness</w:t>
            </w:r>
          </w:p>
        </w:tc>
        <w:tc>
          <w:tcPr>
            <w:tcW w:type="dxa" w:w="1728"/>
          </w:tcPr>
          <w:p>
            <w:r>
              <w:t>1.790381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Vaginal discharge</w:t>
            </w:r>
          </w:p>
        </w:tc>
        <w:tc>
          <w:tcPr>
            <w:tcW w:type="dxa" w:w="1728"/>
          </w:tcPr>
          <w:p>
            <w:r>
              <w:t>1.600416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Urine leakage</w:t>
            </w:r>
          </w:p>
        </w:tc>
        <w:tc>
          <w:tcPr>
            <w:tcW w:type="dxa" w:w="1728"/>
          </w:tcPr>
          <w:p>
            <w:r>
              <w:t>1.546333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Indwelling  devices eg catheters, nasogastric tubes, pacemakers, or implants or surgical drains in last 2 months</w:t>
            </w:r>
          </w:p>
        </w:tc>
        <w:tc>
          <w:tcPr>
            <w:tcW w:type="dxa" w:w="1728"/>
          </w:tcPr>
          <w:p>
            <w:r>
              <w:t>1.425350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1"/>
      </w:pPr>
      <w:r>
        <w:t>9. Clinical Interpretation</w:t>
      </w:r>
    </w:p>
    <w:p>
      <w:r>
        <w:rPr>
          <w:b/>
          <w:i w:val="0"/>
          <w:sz w:val="22"/>
        </w:rPr>
        <w:t>Best model: Logistic Regression</w:t>
        <w:br/>
        <w:t>Test AUROC: 0.9062  |  Test Accuracy: 82.0%  |  Test F1: 82.0%</w:t>
      </w:r>
    </w:p>
    <w:p>
      <w:pPr>
        <w:pStyle w:val="Heading2"/>
      </w:pPr>
      <w:r>
        <w:t>What the AUROC means clinically</w:t>
      </w:r>
    </w:p>
    <w:p>
      <w:r>
        <w:rPr>
          <w:b w:val="0"/>
          <w:i w:val="0"/>
          <w:sz w:val="22"/>
        </w:rPr>
        <w:t>An AUROC of 0.9062 means that if a clinician randomly selected one ESBL-positive and one ESBL-negative patient from this cohort, the model would rank the ESBL-positive patient higher approximately 90.6% of the time.</w:t>
      </w:r>
    </w:p>
    <w:p>
      <w:pPr>
        <w:pStyle w:val="Heading2"/>
      </w:pPr>
      <w:r>
        <w:t>Classification threshold</w:t>
      </w:r>
    </w:p>
    <w:p>
      <w:r>
        <w:rPr>
          <w:b w:val="0"/>
          <w:i w:val="0"/>
          <w:sz w:val="22"/>
        </w:rPr>
        <w:t>The model outputs a probability score (0–100%). The default threshold is 50% — patients with a predicted probability ≥50% are classified as High Risk. This threshold can be adjusted depending on whether higher sensitivity (fewer missed cases) or higher specificity (fewer false alarms) is preferred.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model was trained on a single-institution dataset (MRRH). Performance may differ at other sites.</w:t>
      </w:r>
    </w:p>
    <w:p>
      <w:pPr>
        <w:pStyle w:val="ListBullet"/>
      </w:pPr>
      <w:r>
        <w:t>Only 660 of 1,569 patients had confirmed culture results and were used for training.</w:t>
      </w:r>
    </w:p>
    <w:p>
      <w:pPr>
        <w:pStyle w:val="ListBullet"/>
      </w:pPr>
      <w:r>
        <w:t>Post-culture features (antibiogram, isolate species, specimen type) were excluded to ensure the model is applicable at the point of empirical treatment decision.</w:t>
      </w:r>
    </w:p>
    <w:p>
      <w:pPr>
        <w:pStyle w:val="ListBullet"/>
      </w:pPr>
      <w:r>
        <w:t>This tool is a decision-support aid and does not replace clinical judgement. All predictions must be interpreted by qualified healthcare professionals.</w:t>
      </w:r>
    </w:p>
    <w:p/>
    <w:p>
      <w:pPr>
        <w:jc w:val="center"/>
      </w:pPr>
      <w:r>
        <w:rPr>
          <w:color w:val="999999"/>
          <w:sz w:val="18"/>
        </w:rPr>
        <w:t>ESBL-PE Predictor  |  Mbarara Regional Referral Hospital, Uganda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