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9E8CE" w14:textId="77777777" w:rsidR="0010281B" w:rsidRPr="0010281B" w:rsidRDefault="0010281B" w:rsidP="0010281B">
      <w:pPr>
        <w:rPr>
          <w:b/>
          <w:bCs/>
        </w:rPr>
      </w:pPr>
      <w:r w:rsidRPr="0010281B">
        <w:rPr>
          <w:b/>
          <w:bCs/>
        </w:rPr>
        <w:t>Präzision im Point-</w:t>
      </w:r>
      <w:proofErr w:type="spellStart"/>
      <w:r w:rsidRPr="0010281B">
        <w:rPr>
          <w:b/>
          <w:bCs/>
        </w:rPr>
        <w:t>of</w:t>
      </w:r>
      <w:proofErr w:type="spellEnd"/>
      <w:r w:rsidRPr="0010281B">
        <w:rPr>
          <w:b/>
          <w:bCs/>
        </w:rPr>
        <w:t>-Care: Der Schlüssel zur Patientensicherheit</w:t>
      </w:r>
    </w:p>
    <w:p w14:paraId="3B150805" w14:textId="77777777" w:rsidR="0010281B" w:rsidRPr="0010281B" w:rsidRDefault="0010281B" w:rsidP="0010281B">
      <w:pPr>
        <w:rPr>
          <w:b/>
          <w:bCs/>
        </w:rPr>
      </w:pPr>
      <w:proofErr w:type="spellStart"/>
      <w:r w:rsidRPr="0010281B">
        <w:rPr>
          <w:b/>
          <w:bCs/>
        </w:rPr>
        <w:t>Subline</w:t>
      </w:r>
      <w:proofErr w:type="spellEnd"/>
      <w:r w:rsidRPr="0010281B">
        <w:rPr>
          <w:b/>
          <w:bCs/>
        </w:rPr>
        <w:t>: Warum die Validierung von Lateral Flow Tests (LFT) über die Herstellerangabe hinausgeht.</w:t>
      </w:r>
    </w:p>
    <w:p w14:paraId="30E171D9" w14:textId="77777777" w:rsidR="0010281B" w:rsidRPr="0010281B" w:rsidRDefault="0010281B" w:rsidP="0010281B">
      <w:r w:rsidRPr="0010281B">
        <w:t>Die Point-</w:t>
      </w:r>
      <w:proofErr w:type="spellStart"/>
      <w:r w:rsidRPr="0010281B">
        <w:t>of</w:t>
      </w:r>
      <w:proofErr w:type="spellEnd"/>
      <w:r w:rsidRPr="0010281B">
        <w:t xml:space="preserve">-Care-Diagnostik (POC) hat die medizinische Versorgung revolutioniert. Sie liefert Ergebnisse in Minutenschnelle, ermöglicht schnelle klinische Entscheidungen und entlastet zentrale Labore. Der Einsatz von Lateral Flow Tests (LFT) – bekannt als „Schnelltests“ – ist dabei besonders populär geworden. Ihre Einfachheit und Geschwindigkeit sind unbestritten, doch ihre Zuverlässigkeit hängt maßgeblich von der korrekten, </w:t>
      </w:r>
      <w:r w:rsidRPr="0010281B">
        <w:rPr>
          <w:b/>
          <w:bCs/>
        </w:rPr>
        <w:t>validierten Auswertung</w:t>
      </w:r>
      <w:r w:rsidRPr="0010281B">
        <w:t xml:space="preserve"> ab.</w:t>
      </w:r>
    </w:p>
    <w:p w14:paraId="53D956FD" w14:textId="77777777" w:rsidR="0010281B" w:rsidRPr="0010281B" w:rsidRDefault="0010281B" w:rsidP="0010281B">
      <w:r w:rsidRPr="0010281B">
        <w:t>Die Herausforderung besteht darin, die analytische Präzision des Zentrallabors in das dezentrale Umfeld zu übertragen. Dafür muss die Validierung der LFTs über die primären Leistungsdaten des Herstellers (wie allgemeine Sensitivität und Spezifität) hinausgehen und die gesamte Messkette, einschließlich des Readers und des Anwenders, berücksichtigen.</w:t>
      </w:r>
    </w:p>
    <w:p w14:paraId="53EB1AD9" w14:textId="77777777" w:rsidR="0010281B" w:rsidRPr="0010281B" w:rsidRDefault="0010281B" w:rsidP="0010281B">
      <w:pPr>
        <w:rPr>
          <w:b/>
          <w:bCs/>
        </w:rPr>
      </w:pPr>
      <w:r w:rsidRPr="0010281B">
        <w:rPr>
          <w:b/>
          <w:bCs/>
        </w:rPr>
        <w:t>1. Die Fehlerquelle Mensch: Inter-Reader-Variabilität (IRV)</w:t>
      </w:r>
    </w:p>
    <w:p w14:paraId="7D71E918" w14:textId="77777777" w:rsidR="0010281B" w:rsidRPr="0010281B" w:rsidRDefault="0010281B" w:rsidP="0010281B">
      <w:r w:rsidRPr="0010281B">
        <w:t>Ursprünglich wurden Lateral Flow Tests für eine qualitative oder semi-quantitative Auswertung entwickelt: Das bloße Auftreten einer Testlinie (T-Linie) oder die Abschätzung ihrer Intensität. Diese visuelle Interpretation ist jedoch die Achillesferse der Präzision.</w:t>
      </w:r>
    </w:p>
    <w:p w14:paraId="16083E00" w14:textId="77777777" w:rsidR="0010281B" w:rsidRPr="0010281B" w:rsidRDefault="0010281B" w:rsidP="0010281B">
      <w:pPr>
        <w:numPr>
          <w:ilvl w:val="0"/>
          <w:numId w:val="1"/>
        </w:numPr>
      </w:pPr>
      <w:r w:rsidRPr="0010281B">
        <w:rPr>
          <w:b/>
          <w:bCs/>
        </w:rPr>
        <w:t xml:space="preserve">Subjektivität und </w:t>
      </w:r>
      <w:proofErr w:type="spellStart"/>
      <w:r w:rsidRPr="0010281B">
        <w:rPr>
          <w:b/>
          <w:bCs/>
        </w:rPr>
        <w:t>Intraobserver</w:t>
      </w:r>
      <w:proofErr w:type="spellEnd"/>
      <w:r w:rsidRPr="0010281B">
        <w:rPr>
          <w:b/>
          <w:bCs/>
        </w:rPr>
        <w:t>-Variabilität:</w:t>
      </w:r>
      <w:r w:rsidRPr="0010281B">
        <w:t xml:space="preserve"> Die Intensität einer Farblinie ist subjektiv. Müdigkeit, unterschiedliche Lichtverhältnisse, aber auch die bloße momentane Einschätzung des Untersuchers (</w:t>
      </w:r>
      <w:proofErr w:type="spellStart"/>
      <w:r w:rsidRPr="0010281B">
        <w:t>Intraobserver</w:t>
      </w:r>
      <w:proofErr w:type="spellEnd"/>
      <w:r w:rsidRPr="0010281B">
        <w:t>-Variabilität) können zu unterschiedlichen Diagnosen führen. Was für eine Person ein schwach positives, ist für die andere vielleicht noch ein negatives Ergebnis.</w:t>
      </w:r>
    </w:p>
    <w:p w14:paraId="553F3847" w14:textId="77777777" w:rsidR="0010281B" w:rsidRPr="0010281B" w:rsidRDefault="0010281B" w:rsidP="0010281B">
      <w:pPr>
        <w:numPr>
          <w:ilvl w:val="0"/>
          <w:numId w:val="1"/>
        </w:numPr>
      </w:pPr>
      <w:r w:rsidRPr="0010281B">
        <w:rPr>
          <w:b/>
          <w:bCs/>
        </w:rPr>
        <w:t>Die Notwendigkeit quantitativer Ergebnisse:</w:t>
      </w:r>
      <w:r w:rsidRPr="0010281B">
        <w:t xml:space="preserve"> Moderne Therapieentscheidungen, etwa die Gabe von Antibiotika bei erhöhtem CRP-Wert (C-reaktives Protein), basieren auf genauen numerischen Schwellenwerten. Um eine qualitative Testausführung in ein </w:t>
      </w:r>
      <w:r w:rsidRPr="0010281B">
        <w:rPr>
          <w:b/>
          <w:bCs/>
        </w:rPr>
        <w:t>quantitatives, laborkompatibles Ergebnis</w:t>
      </w:r>
      <w:r w:rsidRPr="0010281B">
        <w:t xml:space="preserve"> zu überführen, ist die Eliminierung der subjektiven Auswertung zwingend erforderlich.</w:t>
      </w:r>
    </w:p>
    <w:p w14:paraId="755ED10F" w14:textId="77777777" w:rsidR="0010281B" w:rsidRPr="0010281B" w:rsidRDefault="0010281B" w:rsidP="0010281B">
      <w:pPr>
        <w:rPr>
          <w:b/>
          <w:bCs/>
        </w:rPr>
      </w:pPr>
      <w:r w:rsidRPr="0010281B">
        <w:rPr>
          <w:b/>
          <w:bCs/>
        </w:rPr>
        <w:t>2. Validierung im klinischen Kontext: Mehr als nur ein Datenblatt</w:t>
      </w:r>
    </w:p>
    <w:p w14:paraId="51872169" w14:textId="77777777" w:rsidR="0010281B" w:rsidRPr="0010281B" w:rsidRDefault="0010281B" w:rsidP="0010281B">
      <w:r w:rsidRPr="0010281B">
        <w:t xml:space="preserve">Die Hersteller liefern Daten zur Leistungsfähigkeit ihrer Tests unter idealisierten Laborbedingungen. Der tatsächliche Einsatz in der Praxis oder Apotheke, der oft in Umfeldern mit geringer Prävalenz oder bei asymptomatischen Patienten stattfindet, erfordert jedoch eine </w:t>
      </w:r>
      <w:r w:rsidRPr="0010281B">
        <w:rPr>
          <w:b/>
          <w:bCs/>
        </w:rPr>
        <w:t>anwendungsspezifische Validierung.</w:t>
      </w:r>
    </w:p>
    <w:p w14:paraId="4819A7D0" w14:textId="77777777" w:rsidR="0010281B" w:rsidRPr="0010281B" w:rsidRDefault="0010281B" w:rsidP="0010281B">
      <w:r w:rsidRPr="0010281B">
        <w:lastRenderedPageBreak/>
        <w:t>Wie die Praxis der COVID-19-Tests gezeigt hat, ist die Detektionsfähigkeit eines LFTs stark von der tatsächlichen Viruslast des Patienten abhängig. Eine LFT-Validierung, die über die reine Herstellerangabe hinausgeht, muss folgende Fragen beantworten:</w:t>
      </w:r>
    </w:p>
    <w:p w14:paraId="1B47BB45" w14:textId="77777777" w:rsidR="0010281B" w:rsidRPr="0010281B" w:rsidRDefault="0010281B" w:rsidP="0010281B">
      <w:pPr>
        <w:numPr>
          <w:ilvl w:val="0"/>
          <w:numId w:val="2"/>
        </w:numPr>
      </w:pPr>
      <w:r w:rsidRPr="0010281B">
        <w:rPr>
          <w:b/>
          <w:bCs/>
        </w:rPr>
        <w:t>Vergleich mit dem Goldstandard:</w:t>
      </w:r>
      <w:r w:rsidRPr="0010281B">
        <w:t xml:space="preserve"> Wie genau korrelieren die quantitativen Werte des LFTs mit den Ergebnissen des Goldstandards (z. B. PCR-Ct-Werten oder zentralen Laborgeräten)?</w:t>
      </w:r>
    </w:p>
    <w:p w14:paraId="29E7FE57" w14:textId="77777777" w:rsidR="0010281B" w:rsidRPr="0010281B" w:rsidRDefault="0010281B" w:rsidP="0010281B">
      <w:pPr>
        <w:numPr>
          <w:ilvl w:val="0"/>
          <w:numId w:val="2"/>
        </w:numPr>
      </w:pPr>
      <w:r w:rsidRPr="0010281B">
        <w:rPr>
          <w:b/>
          <w:bCs/>
        </w:rPr>
        <w:t xml:space="preserve">Limit </w:t>
      </w:r>
      <w:proofErr w:type="spellStart"/>
      <w:r w:rsidRPr="0010281B">
        <w:rPr>
          <w:b/>
          <w:bCs/>
        </w:rPr>
        <w:t>of</w:t>
      </w:r>
      <w:proofErr w:type="spellEnd"/>
      <w:r w:rsidRPr="0010281B">
        <w:rPr>
          <w:b/>
          <w:bCs/>
        </w:rPr>
        <w:t xml:space="preserve"> </w:t>
      </w:r>
      <w:proofErr w:type="spellStart"/>
      <w:r w:rsidRPr="0010281B">
        <w:rPr>
          <w:b/>
          <w:bCs/>
        </w:rPr>
        <w:t>Detection</w:t>
      </w:r>
      <w:proofErr w:type="spellEnd"/>
      <w:r w:rsidRPr="0010281B">
        <w:rPr>
          <w:b/>
          <w:bCs/>
        </w:rPr>
        <w:t xml:space="preserve"> (</w:t>
      </w:r>
      <w:proofErr w:type="spellStart"/>
      <w:r w:rsidRPr="0010281B">
        <w:rPr>
          <w:b/>
          <w:bCs/>
        </w:rPr>
        <w:t>LoD</w:t>
      </w:r>
      <w:proofErr w:type="spellEnd"/>
      <w:r w:rsidRPr="0010281B">
        <w:rPr>
          <w:b/>
          <w:bCs/>
        </w:rPr>
        <w:t>):</w:t>
      </w:r>
      <w:r w:rsidRPr="0010281B">
        <w:t xml:space="preserve"> Ist der kritische Grenzwert (</w:t>
      </w:r>
      <w:proofErr w:type="spellStart"/>
      <w:r w:rsidRPr="0010281B">
        <w:t>LoD</w:t>
      </w:r>
      <w:proofErr w:type="spellEnd"/>
      <w:r w:rsidRPr="0010281B">
        <w:t>), den der Test noch zuverlässig erkennt, auch im POC-Umfeld reproduzierbar?</w:t>
      </w:r>
    </w:p>
    <w:p w14:paraId="441512E4" w14:textId="77777777" w:rsidR="0010281B" w:rsidRPr="0010281B" w:rsidRDefault="0010281B" w:rsidP="0010281B">
      <w:pPr>
        <w:numPr>
          <w:ilvl w:val="0"/>
          <w:numId w:val="2"/>
        </w:numPr>
      </w:pPr>
      <w:r w:rsidRPr="0010281B">
        <w:rPr>
          <w:b/>
          <w:bCs/>
        </w:rPr>
        <w:t>Robustheit:</w:t>
      </w:r>
      <w:r w:rsidRPr="0010281B">
        <w:t xml:space="preserve"> Wie stabil ist das Ergebnis über den gesamten Messbereich hinweg (linearer Bereich)?</w:t>
      </w:r>
    </w:p>
    <w:p w14:paraId="77829303" w14:textId="77777777" w:rsidR="0010281B" w:rsidRPr="0010281B" w:rsidRDefault="0010281B" w:rsidP="0010281B">
      <w:r w:rsidRPr="0010281B">
        <w:t>Nur durch die Bestätigung dieser analytischen Gütekriterien in der klinischen Realität kann die POC-Diagnostik das Vertrauen von Ärzten und Patienten rechtfertigen.</w:t>
      </w:r>
    </w:p>
    <w:p w14:paraId="674EC04A" w14:textId="77777777" w:rsidR="0010281B" w:rsidRPr="0010281B" w:rsidRDefault="0010281B" w:rsidP="0010281B">
      <w:pPr>
        <w:rPr>
          <w:b/>
          <w:bCs/>
        </w:rPr>
      </w:pPr>
      <w:r w:rsidRPr="0010281B">
        <w:rPr>
          <w:b/>
          <w:bCs/>
        </w:rPr>
        <w:t>3. Der Weg zur Laborgenauigkeit: Automatisierung und Kalibrierung</w:t>
      </w:r>
    </w:p>
    <w:p w14:paraId="5333CDCB" w14:textId="77777777" w:rsidR="0010281B" w:rsidRPr="0010281B" w:rsidRDefault="0010281B" w:rsidP="0010281B">
      <w:r w:rsidRPr="0010281B">
        <w:t>Um die Präzision des Labors am Point-</w:t>
      </w:r>
      <w:proofErr w:type="spellStart"/>
      <w:r w:rsidRPr="0010281B">
        <w:t>of</w:t>
      </w:r>
      <w:proofErr w:type="spellEnd"/>
      <w:r w:rsidRPr="0010281B">
        <w:t xml:space="preserve">-Care zu gewährleisten, ist der Einsatz von </w:t>
      </w:r>
      <w:r w:rsidRPr="0010281B">
        <w:rPr>
          <w:b/>
          <w:bCs/>
        </w:rPr>
        <w:t>automatisierten LFT-Readern</w:t>
      </w:r>
      <w:r w:rsidRPr="0010281B">
        <w:t xml:space="preserve"> wie dem </w:t>
      </w:r>
      <w:proofErr w:type="spellStart"/>
      <w:r w:rsidRPr="0010281B">
        <w:t>IglooPro</w:t>
      </w:r>
      <w:proofErr w:type="spellEnd"/>
      <w:r w:rsidRPr="0010281B">
        <w:t xml:space="preserve"> unerlässlich. Diese Reader führen die notwendige, objektive Auswertung durch und stellen so die Analytik auf eine neue Grundlage.</w:t>
      </w:r>
    </w:p>
    <w:p w14:paraId="056AC8B4" w14:textId="77777777" w:rsidR="0010281B" w:rsidRPr="0010281B" w:rsidRDefault="0010281B" w:rsidP="0010281B">
      <w:r w:rsidRPr="0010281B">
        <w:rPr>
          <w:b/>
          <w:bCs/>
        </w:rPr>
        <w:t>A. Eliminierung der Variabilität durch Objektivität</w:t>
      </w:r>
      <w:r w:rsidRPr="0010281B">
        <w:t xml:space="preserve"> Moderne Reader nutzen Kamerasysteme oder Fluoreszenztechnologie, um die Test- und Kontrolllinien objektiv zu erfassen und die Intensitätsverhältnisse digital zu quantifizieren. Das Ergebnis ist ein numerischer Wert mit geringem Variationskoeffizienten (CV), der die IRV vollständig eliminiert.</w:t>
      </w:r>
    </w:p>
    <w:p w14:paraId="6CA260B4" w14:textId="77777777" w:rsidR="0010281B" w:rsidRPr="0010281B" w:rsidRDefault="0010281B" w:rsidP="0010281B">
      <w:r w:rsidRPr="0010281B">
        <w:rPr>
          <w:b/>
          <w:bCs/>
        </w:rPr>
        <w:t>B. Die notwendige Kalibrierung und Qualitätssicherung (QS)</w:t>
      </w:r>
      <w:r w:rsidRPr="0010281B">
        <w:t xml:space="preserve"> Ein Reader ist nur so gut wie seine Kalibrierung. Um die Präzision über verschiedene Testchargen und über die Lebensdauer des Geräts zu gewährleisten, sind strikte QS-Verfahren erforderlich:</w:t>
      </w:r>
    </w:p>
    <w:p w14:paraId="2C64C5E3" w14:textId="77777777" w:rsidR="0010281B" w:rsidRPr="0010281B" w:rsidRDefault="0010281B" w:rsidP="0010281B">
      <w:pPr>
        <w:numPr>
          <w:ilvl w:val="0"/>
          <w:numId w:val="3"/>
        </w:numPr>
      </w:pPr>
      <w:r w:rsidRPr="0010281B">
        <w:rPr>
          <w:b/>
          <w:bCs/>
        </w:rPr>
        <w:t>Chargenspezifische Kalibrierung:</w:t>
      </w:r>
      <w:r w:rsidRPr="0010281B">
        <w:t xml:space="preserve"> Jede Produktionscharge (Batch) von LFTs kann geringfügige Unterschiede in der Reaktionskinetik oder der Membranbeschaffenheit aufweisen. Der Reader muss diese batch-spezifischen Daten laden – oft automatisch über Barcode- oder RFID-Technologie – um das LFT-spezifische Signal korrekt in den Konzentrationswert umzurechnen.</w:t>
      </w:r>
    </w:p>
    <w:p w14:paraId="31086FE8" w14:textId="77777777" w:rsidR="0010281B" w:rsidRPr="0010281B" w:rsidRDefault="0010281B" w:rsidP="0010281B">
      <w:pPr>
        <w:numPr>
          <w:ilvl w:val="0"/>
          <w:numId w:val="3"/>
        </w:numPr>
      </w:pPr>
      <w:r w:rsidRPr="0010281B">
        <w:rPr>
          <w:b/>
          <w:bCs/>
        </w:rPr>
        <w:t>Qualitätskontrolle (QK-Sperre):</w:t>
      </w:r>
      <w:r w:rsidRPr="0010281B">
        <w:t xml:space="preserve"> Moderne Systeme verfügen über Mechanismen (analog zur </w:t>
      </w:r>
      <w:proofErr w:type="spellStart"/>
      <w:r w:rsidRPr="0010281B">
        <w:t>RiliBÄK</w:t>
      </w:r>
      <w:proofErr w:type="spellEnd"/>
      <w:r w:rsidRPr="0010281B">
        <w:t xml:space="preserve"> im Zentrallabor), die eine Messung verweigern, wenn die interne oder externe Qualitätskontrolle (z. B. eine Kontrollkassette) nicht erfolgreich durchgeführt wurde. Dies garantiert, dass nur validierte Messergebnisse generiert werden.</w:t>
      </w:r>
    </w:p>
    <w:p w14:paraId="2BB9D3FA" w14:textId="77777777" w:rsidR="0010281B" w:rsidRPr="0010281B" w:rsidRDefault="0010281B" w:rsidP="0010281B">
      <w:pPr>
        <w:rPr>
          <w:b/>
          <w:bCs/>
        </w:rPr>
      </w:pPr>
      <w:r w:rsidRPr="0010281B">
        <w:rPr>
          <w:b/>
          <w:bCs/>
        </w:rPr>
        <w:t>Fazit: Das Versprechen der POC-Diagnostik</w:t>
      </w:r>
    </w:p>
    <w:p w14:paraId="1305D63F" w14:textId="77777777" w:rsidR="0010281B" w:rsidRPr="0010281B" w:rsidRDefault="0010281B" w:rsidP="0010281B">
      <w:r w:rsidRPr="0010281B">
        <w:lastRenderedPageBreak/>
        <w:t xml:space="preserve">Die Geschwindigkeit der POC-Diagnostik ist ein unschätzbarer Vorteil. Das Vertrauen in diese Geschwindigkeit kann jedoch nur durch </w:t>
      </w:r>
      <w:r w:rsidRPr="0010281B">
        <w:rPr>
          <w:b/>
          <w:bCs/>
        </w:rPr>
        <w:t>kontinuierliche Qualitätssicherung</w:t>
      </w:r>
      <w:r w:rsidRPr="0010281B">
        <w:t xml:space="preserve"> und </w:t>
      </w:r>
      <w:r w:rsidRPr="0010281B">
        <w:rPr>
          <w:b/>
          <w:bCs/>
        </w:rPr>
        <w:t>Validierung</w:t>
      </w:r>
      <w:r w:rsidRPr="0010281B">
        <w:t xml:space="preserve"> gesichert werden. Point-</w:t>
      </w:r>
      <w:proofErr w:type="spellStart"/>
      <w:r w:rsidRPr="0010281B">
        <w:t>of</w:t>
      </w:r>
      <w:proofErr w:type="spellEnd"/>
      <w:r w:rsidRPr="0010281B">
        <w:t>-Care-Diagnostik, die Laborniveau erreichen will, muss zwingend auf die automatisierte, kalibrierte und validierte Auswertung von Lateral Flow Tests setzen.</w:t>
      </w:r>
    </w:p>
    <w:p w14:paraId="61F8D9BE" w14:textId="77777777" w:rsidR="0010281B" w:rsidRPr="0010281B" w:rsidRDefault="0010281B" w:rsidP="0010281B">
      <w:r w:rsidRPr="0010281B">
        <w:rPr>
          <w:b/>
          <w:bCs/>
        </w:rPr>
        <w:t>Nur durch die Kombination aus einem robusten, kalibrierten Reader und strikten Validierungsverfahren wird aus einem Schnelltest eine verlässliche diagnostische Grundlage.</w:t>
      </w:r>
    </w:p>
    <w:p w14:paraId="4851BD5D" w14:textId="77777777" w:rsidR="002D536F" w:rsidRDefault="002D536F"/>
    <w:sectPr w:rsidR="002D536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18CF"/>
    <w:multiLevelType w:val="multilevel"/>
    <w:tmpl w:val="BF6A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623DD0"/>
    <w:multiLevelType w:val="multilevel"/>
    <w:tmpl w:val="1D72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91A19"/>
    <w:multiLevelType w:val="multilevel"/>
    <w:tmpl w:val="AD5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24039">
    <w:abstractNumId w:val="1"/>
  </w:num>
  <w:num w:numId="2" w16cid:durableId="1432237960">
    <w:abstractNumId w:val="2"/>
  </w:num>
  <w:num w:numId="3" w16cid:durableId="202428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81B"/>
    <w:rsid w:val="0010281B"/>
    <w:rsid w:val="002D536F"/>
    <w:rsid w:val="005D63BA"/>
    <w:rsid w:val="00AC038F"/>
    <w:rsid w:val="00D058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2E79"/>
  <w15:chartTrackingRefBased/>
  <w15:docId w15:val="{CB06854C-057E-4098-94F4-AFDAD5457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2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2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281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28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28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281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281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281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281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281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281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281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28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28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28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28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28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281B"/>
    <w:rPr>
      <w:rFonts w:eastAsiaTheme="majorEastAsia" w:cstheme="majorBidi"/>
      <w:color w:val="272727" w:themeColor="text1" w:themeTint="D8"/>
    </w:rPr>
  </w:style>
  <w:style w:type="paragraph" w:styleId="Titel">
    <w:name w:val="Title"/>
    <w:basedOn w:val="Standard"/>
    <w:next w:val="Standard"/>
    <w:link w:val="TitelZchn"/>
    <w:uiPriority w:val="10"/>
    <w:qFormat/>
    <w:rsid w:val="0010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28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281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28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281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281B"/>
    <w:rPr>
      <w:i/>
      <w:iCs/>
      <w:color w:val="404040" w:themeColor="text1" w:themeTint="BF"/>
    </w:rPr>
  </w:style>
  <w:style w:type="paragraph" w:styleId="Listenabsatz">
    <w:name w:val="List Paragraph"/>
    <w:basedOn w:val="Standard"/>
    <w:uiPriority w:val="34"/>
    <w:qFormat/>
    <w:rsid w:val="0010281B"/>
    <w:pPr>
      <w:ind w:left="720"/>
      <w:contextualSpacing/>
    </w:pPr>
  </w:style>
  <w:style w:type="character" w:styleId="IntensiveHervorhebung">
    <w:name w:val="Intense Emphasis"/>
    <w:basedOn w:val="Absatz-Standardschriftart"/>
    <w:uiPriority w:val="21"/>
    <w:qFormat/>
    <w:rsid w:val="0010281B"/>
    <w:rPr>
      <w:i/>
      <w:iCs/>
      <w:color w:val="0F4761" w:themeColor="accent1" w:themeShade="BF"/>
    </w:rPr>
  </w:style>
  <w:style w:type="paragraph" w:styleId="IntensivesZitat">
    <w:name w:val="Intense Quote"/>
    <w:basedOn w:val="Standard"/>
    <w:next w:val="Standard"/>
    <w:link w:val="IntensivesZitatZchn"/>
    <w:uiPriority w:val="30"/>
    <w:qFormat/>
    <w:rsid w:val="00102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281B"/>
    <w:rPr>
      <w:i/>
      <w:iCs/>
      <w:color w:val="0F4761" w:themeColor="accent1" w:themeShade="BF"/>
    </w:rPr>
  </w:style>
  <w:style w:type="character" w:styleId="IntensiverVerweis">
    <w:name w:val="Intense Reference"/>
    <w:basedOn w:val="Absatz-Standardschriftart"/>
    <w:uiPriority w:val="32"/>
    <w:qFormat/>
    <w:rsid w:val="00102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9EB5B4727AE42B8DB4B7E561B3D35" ma:contentTypeVersion="9" ma:contentTypeDescription="Create a new document." ma:contentTypeScope="" ma:versionID="1a21fa3bbd88ef71bd93e2791d1662dc">
  <xsd:schema xmlns:xsd="http://www.w3.org/2001/XMLSchema" xmlns:xs="http://www.w3.org/2001/XMLSchema" xmlns:p="http://schemas.microsoft.com/office/2006/metadata/properties" xmlns:ns3="cbfc9ffb-e085-4063-8e49-137e7158d6a8" targetNamespace="http://schemas.microsoft.com/office/2006/metadata/properties" ma:root="true" ma:fieldsID="0e31748f822fbd92b7a2d4a3ccb9515b" ns3:_="">
    <xsd:import namespace="cbfc9ffb-e085-4063-8e49-137e7158d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c9ffb-e085-4063-8e49-137e7158d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bfc9ffb-e085-4063-8e49-137e7158d6a8" xsi:nil="true"/>
  </documentManagement>
</p:properties>
</file>

<file path=customXml/itemProps1.xml><?xml version="1.0" encoding="utf-8"?>
<ds:datastoreItem xmlns:ds="http://schemas.openxmlformats.org/officeDocument/2006/customXml" ds:itemID="{097DCEA0-273F-4118-BAE5-EE231686D6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c9ffb-e085-4063-8e49-137e7158d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39487E-0F61-4DC4-9CA7-25FA9C9AABE2}">
  <ds:schemaRefs>
    <ds:schemaRef ds:uri="http://schemas.microsoft.com/sharepoint/v3/contenttype/forms"/>
  </ds:schemaRefs>
</ds:datastoreItem>
</file>

<file path=customXml/itemProps3.xml><?xml version="1.0" encoding="utf-8"?>
<ds:datastoreItem xmlns:ds="http://schemas.openxmlformats.org/officeDocument/2006/customXml" ds:itemID="{3D9C3353-90C1-4A22-B36A-79FA45F1C588}">
  <ds:schemaRefs>
    <ds:schemaRef ds:uri="http://schemas.microsoft.com/office/2006/metadata/properties"/>
    <ds:schemaRef ds:uri="http://schemas.microsoft.com/office/infopath/2007/PartnerControls"/>
    <ds:schemaRef ds:uri="cbfc9ffb-e085-4063-8e49-137e7158d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4681</Characters>
  <Application>Microsoft Office Word</Application>
  <DocSecurity>0</DocSecurity>
  <Lines>39</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Rugullis</dc:creator>
  <cp:keywords/>
  <dc:description/>
  <cp:lastModifiedBy>Phillip Rugullis</cp:lastModifiedBy>
  <cp:revision>2</cp:revision>
  <dcterms:created xsi:type="dcterms:W3CDTF">2025-11-25T11:44:00Z</dcterms:created>
  <dcterms:modified xsi:type="dcterms:W3CDTF">2025-11-25T11:44:00Z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0x01010071A9EB5B4727AE42B8DB4B7E561B3D35</vt:lpwstr>
  </property>
</Properties>
</file>