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2"/>
          <w:szCs w:val="32"/>
        </w:rPr>
        <w:t xml:space="preserve">Building an Evidence Case for AI Misuse</w:t>
      </w:r>
    </w:p>
    <w:p>
      <w:pPr>
        <w:spacing w:after="80"/>
        <w:jc w:val="center"/>
      </w:pPr>
      <w:r>
        <w:rPr>
          <w:rFonts w:ascii="Arial" w:cs="Arial" w:eastAsia="Arial" w:hAnsi="Arial"/>
          <w:sz w:val="24"/>
          <w:szCs w:val="24"/>
        </w:rPr>
        <w:t xml:space="preserve">Faculty Guidance and Internal Procedures</w:t>
      </w:r>
    </w:p>
    <w:p>
      <w:pPr>
        <w:spacing w:after="80"/>
        <w:jc w:val="center"/>
      </w:pPr>
      <w:r>
        <w:rPr>
          <w:rFonts w:ascii="Arial" w:cs="Arial" w:eastAsia="Arial" w:hAnsi="Arial"/>
          <w:i/>
          <w:iCs/>
          <w:sz w:val="22"/>
          <w:szCs w:val="22"/>
        </w:rPr>
        <w:t xml:space="preserve">Under the "More Likely Than Not" Standard of Evidence</w:t>
      </w:r>
    </w:p>
    <w:p>
      <w:pPr>
        <w:spacing w:after="200"/>
        <w:jc w:val="center"/>
      </w:pPr>
      <w:r>
        <w:rPr>
          <w:rFonts w:ascii="Arial" w:cs="Arial" w:eastAsia="Arial" w:hAnsi="Arial"/>
          <w:i/>
          <w:iCs/>
          <w:sz w:val="22"/>
          <w:szCs w:val="22"/>
        </w:rPr>
        <w:t xml:space="preserve">College of Natural Sciences and Mathematics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Date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April 2026</w:t>
            </w:r>
          </w:p>
        </w:tc>
      </w:tr>
      <w:tr>
        <w:tc>
          <w:tcPr>
            <w:tcW w:type="dxa" w:w="2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Authors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Dr. Shaun Williams &amp; Claude AI</w:t>
            </w:r>
          </w:p>
        </w:tc>
      </w:tr>
      <w:tr>
        <w:tc>
          <w:tcPr>
            <w:tcW w:type="dxa" w:w="2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Audience</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CNSM Faculty</w:t>
            </w:r>
          </w:p>
        </w:tc>
      </w:tr>
      <w:tr>
        <w:tc>
          <w:tcPr>
            <w:tcW w:type="dxa" w:w="2800"/>
            <w:tcBorders>
              <w:top w:val="single" w:color="999999" w:sz="1"/>
              <w:left w:val="single" w:color="999999" w:sz="1"/>
              <w:bottom w:val="single" w:color="999999" w:sz="1"/>
              <w:right w:val="single" w:color="999999" w:sz="1"/>
            </w:tcBorders>
            <w:shd w:fill="E8E8E8" w:val="clear"/>
            <w:tcMar>
              <w:top w:type="dxa" w:w="80"/>
              <w:left w:type="dxa" w:w="120"/>
              <w:bottom w:type="dxa" w:w="80"/>
              <w:right w:type="dxa" w:w="120"/>
            </w:tcMar>
          </w:tcPr>
          <w:p>
            <w:r>
              <w:rPr>
                <w:b/>
                <w:bCs/>
              </w:rPr>
              <w:t xml:space="preserve">Related Documents</w:t>
            </w:r>
          </w:p>
        </w:tc>
        <w:tc>
          <w:tcPr>
            <w:tcW w:type="dxa" w:w="65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LRU Academic Integrity Code (2024-2025, Revised); CNSM AI Use Policy Framework; LRU Student Code of Conduct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5F5F5" w:val="clear"/>
            <w:tcMar>
              <w:top w:type="dxa" w:w="120"/>
              <w:left w:type="dxa" w:w="200"/>
              <w:bottom w:type="dxa" w:w="120"/>
              <w:right w:type="dxa" w:w="200"/>
            </w:tcMar>
          </w:tcPr>
          <w:p>
            <w:pPr>
              <w:spacing w:after="100"/>
            </w:pPr>
            <w:r>
              <w:rPr>
                <w:b/>
                <w:bCs/>
                <w:sz w:val="24"/>
                <w:szCs w:val="24"/>
              </w:rPr>
              <w:t xml:space="preserve">Key LRU Policy Context</w:t>
            </w:r>
          </w:p>
          <w:p>
            <w:pPr>
              <w:spacing w:after="80"/>
            </w:pPr>
            <w:r>
              <w:t xml:space="preserve">Under the LRU Academic Integrity Code, unauthorized use of Generative AI is classified as Plagiarism (Section A.2): "Using Generative Artificial Intelligence (AI) in ways not permitted by the individual course syllabus." This means that the foundation of any AI misuse case is the AI use policy stated in your syllabus. Without a clear syllabus statement, establishing a violation is significantly more difficult.</w:t>
            </w:r>
          </w:p>
          <w:p>
            <w:pPr>
              <w:spacing w:after="80"/>
            </w:pPr>
            <w:r>
              <w:t xml:space="preserve">The UAIC (University Academic Integrity Council) adjudicates cases where the student does not accept responsibility. When the UAIC applies the "more likely than not" (preponderance of evidence) standard, the faculty member bears the burden of presenting evidence that tips the scale past 50% probability.</w:t>
            </w:r>
          </w:p>
          <w:p>
            <w:r>
              <w:rPr>
                <w:i/>
                <w:iCs/>
              </w:rPr>
              <w:t xml:space="preserve">Instructors have a duty to communicate their expectations including those specific to collaboration, assistance, citation, and acknowledgement within each course (Academic Integrity Code, Section A). This duty extends to AI use expectations.</w:t>
            </w:r>
          </w:p>
        </w:tc>
      </w:tr>
    </w:tbl>
    <w:p>
      <w:pPr>
        <w:spacing w:after="300"/>
      </w:pPr>
    </w:p>
    <w:p>
      <w:pPr>
        <w:pBdr>
          <w:top w:val="single" w:color="000000" w:sz="6" w:space="4"/>
          <w:bottom w:val="single" w:color="000000" w:sz="6" w:space="4"/>
        </w:pBdr>
        <w:spacing w:after="200"/>
        <w:jc w:val="center"/>
      </w:pPr>
      <w:r>
        <w:rPr>
          <w:rFonts w:ascii="Arial" w:cs="Arial" w:eastAsia="Arial" w:hAnsi="Arial"/>
          <w:b/>
          <w:bCs/>
          <w:sz w:val="26"/>
          <w:szCs w:val="26"/>
        </w:rPr>
        <w:t xml:space="preserve">PART ONE: FACULTY GUIDANCE</w:t>
      </w:r>
    </w:p>
    <w:p>
      <w:pPr>
        <w:spacing w:after="200"/>
      </w:pPr>
      <w:r>
        <w:rPr>
          <w:i/>
          <w:iCs/>
        </w:rPr>
        <w:t xml:space="preserve">This section explains the evidence standard, why it matters, what kinds of evidence are available to you, and how to think about building a case before referring a student to the University Academic Integrity Council (UAIC).</w:t>
      </w:r>
    </w:p>
    <w:p>
      <w:pPr>
        <w:pStyle w:val="Heading1"/>
      </w:pPr>
      <w:r>
        <w:t xml:space="preserve">1. Understanding the "More Likely Than Not" Standard</w:t>
      </w:r>
    </w:p>
    <w:p>
      <w:pPr>
        <w:spacing w:after="200"/>
      </w:pPr>
      <w:r>
        <w:t xml:space="preserve">When a student does not accept responsibility for an AI use violation at the student-faculty meeting, the case is referred to the UAIC (Academic Integrity Code, Section B.2). The UAIC applies a preponderance of evidence standard, meaning the council must determine whether it is more likely than not (greater than 50% probability) that the student committed the violation. This is significantly lower than the "beyond a reasonable doubt" standard used in criminal proceedings.</w:t>
      </w:r>
    </w:p>
    <w:p>
      <w:pPr>
        <w:spacing w:after="200"/>
      </w:pPr>
      <w:r>
        <w:t xml:space="preserve">Practically, this means you do not need to prove with certainty that a student used AI. You need to present enough evidence that a reasonable person reviewing the case would conclude it is more probable than not that the student used AI tools in ways not permitted by your course syllabus. The cumulative weight of the evidence must tip the scale past the 50% mark.</w:t>
      </w:r>
    </w:p>
    <w:p>
      <w:pPr>
        <w:pStyle w:val="Heading1"/>
      </w:pPr>
      <w:r>
        <w:t xml:space="preserve">2. The Foundation of Every Case: Your Syllabus AI Policy</w:t>
      </w:r>
    </w:p>
    <w:p>
      <w:pPr>
        <w:spacing w:after="200"/>
      </w:pPr>
      <w:r>
        <w:t xml:space="preserve">Because the Academic Integrity Code defines AI misuse as "Using Generative Artificial Intelligence (AI) in ways not permitted by the individual course syllabus" (Section A.2), your syllabus policy is the foundational document in any AI misuse case. Without it, there is no clearly established standard for the student to have violated. The Code further states that "Instructors have a duty to communicate their expectations including those specific to collaboration, assistance, citation, and acknowledgement within each course" and that "Students likewise have a duty to ensure that they understand and abide by the expectations and standards established in each course."</w:t>
      </w:r>
    </w:p>
    <w:p>
      <w:pPr>
        <w:spacing w:after="200"/>
      </w:pPr>
      <w:r>
        <w:t xml:space="preserve">Before pursuing any AI misuse case, confirm that your syllabus contains a clear AI use policy and that students had access to it. If your syllabus is silent on AI use, there is no clearly established standard for that course, and you should not pursue an AI misuse case on the basis of AI use alone for that term. The CNSM AI Use Policy Framework describes a recommended default for drafting future syllabus statements, but because that Framework is an internal faculty document and is not distributed to students, it does not provide students notice and cannot substitute for an explicit course-level statement.</w:t>
      </w:r>
    </w:p>
    <w:p>
      <w:pPr>
        <w:pStyle w:val="Heading1"/>
      </w:pPr>
      <w:r>
        <w:t xml:space="preserve">3. Why AI Detection Tools Alone Are Not Sufficient</w:t>
      </w:r>
    </w:p>
    <w:p>
      <w:pPr>
        <w:spacing w:after="200"/>
      </w:pPr>
      <w:r>
        <w:t xml:space="preserve">No major university currently recommends using an AI detection tool score as the sole basis for an academic integrity charge. Institutions including the University of Buffalo, Vanderbilt, Cornell, University of North Florida, University of Colorado Boulder, and Washington State University have published explicit guidance to this effect. The reasons are well-documented:</w:t>
      </w:r>
    </w:p>
    <w:p>
      <w:pPr>
        <w:pStyle w:val="ListParagraph"/>
        <w:numPr>
          <w:ilvl w:val="0"/>
          <w:numId w:val="2"/>
        </w:numPr>
        <w:spacing w:after="80"/>
      </w:pPr>
      <w:r>
        <w:rPr>
          <w:b/>
          <w:bCs/>
        </w:rPr>
        <w:t xml:space="preserve">False positives are common. </w:t>
      </w:r>
      <w:r>
        <w:t xml:space="preserve">Detection tools identify statistical patterns associated with AI-generated text, but those same patterns appear in polished human writing, particularly in STEM fields where passive voice, technical jargon, and standardized template language are the norm. Research has documented that verified human-authored STEM writing is flagged at significant rates.</w:t>
      </w:r>
    </w:p>
    <w:p>
      <w:pPr>
        <w:pStyle w:val="ListParagraph"/>
        <w:numPr>
          <w:ilvl w:val="0"/>
          <w:numId w:val="2"/>
        </w:numPr>
        <w:spacing w:after="80"/>
      </w:pPr>
      <w:r>
        <w:rPr>
          <w:b/>
          <w:bCs/>
        </w:rPr>
        <w:t xml:space="preserve">Bias against non-native English speakers. </w:t>
      </w:r>
      <w:r>
        <w:t xml:space="preserve">Multiple studies have found that AI detectors disproportionately flag writing by non-native English speakers and neurodiverse students, creating equity and legal concerns.</w:t>
      </w:r>
    </w:p>
    <w:p>
      <w:pPr>
        <w:pStyle w:val="ListParagraph"/>
        <w:numPr>
          <w:ilvl w:val="0"/>
          <w:numId w:val="2"/>
        </w:numPr>
        <w:spacing w:after="80"/>
      </w:pPr>
      <w:r>
        <w:rPr>
          <w:b/>
          <w:bCs/>
        </w:rPr>
        <w:t xml:space="preserve">Easy to defeat. </w:t>
      </w:r>
      <w:r>
        <w:t xml:space="preserve">"Humanizer" tools that rephrase AI-generated text to evade detection are widely available, meaning detection tools produce both false positives and false negatives.</w:t>
      </w:r>
    </w:p>
    <w:p>
      <w:pPr>
        <w:pStyle w:val="ListParagraph"/>
        <w:numPr>
          <w:ilvl w:val="0"/>
          <w:numId w:val="2"/>
        </w:numPr>
        <w:spacing w:after="80"/>
      </w:pPr>
      <w:r>
        <w:rPr>
          <w:b/>
          <w:bCs/>
        </w:rPr>
        <w:t xml:space="preserve">No verifiable match. </w:t>
      </w:r>
      <w:r>
        <w:t xml:space="preserve">Unlike plagiarism detection (which can point to a specific matching source), AI detection provides only probabilistic assessments. It cannot identify what tool was used, when, or what content was generated.</w:t>
      </w:r>
    </w:p>
    <w:p>
      <w:pPr>
        <w:pStyle w:val="ListParagraph"/>
        <w:numPr>
          <w:ilvl w:val="0"/>
          <w:numId w:val="2"/>
        </w:numPr>
        <w:spacing w:after="200"/>
      </w:pPr>
      <w:r>
        <w:rPr>
          <w:b/>
          <w:bCs/>
        </w:rPr>
        <w:t xml:space="preserve">Rapidly outdated. </w:t>
      </w:r>
      <w:r>
        <w:t xml:space="preserve">Detection tools are calibrated to specific AI model generations and degrade in accuracy as new models are released.</w:t>
      </w:r>
    </w:p>
    <w:p>
      <w:pPr>
        <w:spacing w:after="200"/>
      </w:pPr>
      <w:r>
        <w:rPr>
          <w:b/>
          <w:bCs/>
        </w:rPr>
        <w:t xml:space="preserve">Bottom line: </w:t>
      </w:r>
      <w:r>
        <w:t xml:space="preserve">A Turnitin AI score or GPTZero report can be one piece of supporting evidence, but it cannot be the only piece. A case built on detection alone is unlikely to meet the preponderance standard at UAIC and is vulnerable to challenge on appeal under the basis that "the evidence did not support the decision" (Academic Integrity Code, Section B.3).</w:t>
      </w:r>
    </w:p>
    <w:p>
      <w:pPr>
        <w:pStyle w:val="Heading1"/>
      </w:pPr>
      <w:r>
        <w:t xml:space="preserve">4. The Triangulation Approach: Building a Multi-Evidence Case</w:t>
      </w:r>
    </w:p>
    <w:p>
      <w:pPr>
        <w:spacing w:after="200"/>
      </w:pPr>
      <w:r>
        <w:t xml:space="preserve">The strongest AI misuse cases are built through triangulation: assembling multiple, independent lines of evidence that, taken together, point to the same conclusion. No single indicator is definitive, but when several indicators converge, the cumulative weight easily meets the preponderance standard. Think of it as a mosaic: any one tile tells you little, but the pattern that emerges from many tiles can be unmistakable.</w:t>
      </w:r>
    </w:p>
    <w:p>
      <w:pPr>
        <w:spacing w:after="200"/>
      </w:pPr>
      <w:r>
        <w:t xml:space="preserve">The following categories of evidence are available to CNSM faculty. The more categories you can document, the stronger your case.</w:t>
      </w:r>
    </w:p>
    <w:p>
      <w:pPr>
        <w:pStyle w:val="Heading2"/>
      </w:pPr>
      <w:r>
        <w:t xml:space="preserve">4.1 Content-Based Indicators (Evidence from the Submission)</w:t>
      </w:r>
    </w:p>
    <w:p>
      <w:pPr>
        <w:pStyle w:val="ListParagraph"/>
        <w:numPr>
          <w:ilvl w:val="0"/>
          <w:numId w:val="2"/>
        </w:numPr>
        <w:spacing w:after="80"/>
      </w:pPr>
      <w:r>
        <w:rPr>
          <w:b/>
          <w:bCs/>
        </w:rPr>
        <w:t xml:space="preserve">Fabricated citations or references. </w:t>
      </w:r>
      <w:r>
        <w:t xml:space="preserve">AI tools frequently generate plausible-sounding but non-existent sources. Document each fabricated citation specifically. This is one of the strongest single indicators.</w:t>
      </w:r>
    </w:p>
    <w:p>
      <w:pPr>
        <w:pStyle w:val="ListParagraph"/>
        <w:numPr>
          <w:ilvl w:val="0"/>
          <w:numId w:val="2"/>
        </w:numPr>
        <w:spacing w:after="80"/>
      </w:pPr>
      <w:r>
        <w:rPr>
          <w:b/>
          <w:bCs/>
        </w:rPr>
        <w:t xml:space="preserve">Factual errors presented confidently. </w:t>
      </w:r>
      <w:r>
        <w:t xml:space="preserve">AI "hallucinations" that a student with access to course materials would be unlikely to make.</w:t>
      </w:r>
    </w:p>
    <w:p>
      <w:pPr>
        <w:pStyle w:val="ListParagraph"/>
        <w:numPr>
          <w:ilvl w:val="0"/>
          <w:numId w:val="2"/>
        </w:numPr>
        <w:spacing w:after="80"/>
      </w:pPr>
      <w:r>
        <w:rPr>
          <w:b/>
          <w:bCs/>
        </w:rPr>
        <w:t xml:space="preserve">Content beyond course scope. </w:t>
      </w:r>
      <w:r>
        <w:t xml:space="preserve">References to advanced methods or concepts not covered in the course or its prerequisites.</w:t>
      </w:r>
    </w:p>
    <w:p>
      <w:pPr>
        <w:pStyle w:val="ListParagraph"/>
        <w:numPr>
          <w:ilvl w:val="0"/>
          <w:numId w:val="2"/>
        </w:numPr>
        <w:spacing w:after="80"/>
      </w:pPr>
      <w:r>
        <w:rPr>
          <w:b/>
          <w:bCs/>
        </w:rPr>
        <w:t xml:space="preserve">Stylistic uniformity. </w:t>
      </w:r>
      <w:r>
        <w:t xml:space="preserve">AI text often lacks the natural variation of human writing. Helpful as supporting evidence, but not sufficient alone.</w:t>
      </w:r>
    </w:p>
    <w:p>
      <w:pPr>
        <w:pStyle w:val="ListParagraph"/>
        <w:numPr>
          <w:ilvl w:val="0"/>
          <w:numId w:val="2"/>
        </w:numPr>
        <w:spacing w:after="200"/>
      </w:pPr>
      <w:r>
        <w:rPr>
          <w:b/>
          <w:bCs/>
        </w:rPr>
        <w:t xml:space="preserve">Generic or "too perfect" responses. </w:t>
      </w:r>
      <w:r>
        <w:t xml:space="preserve">Answers that do not reflect your course's specific framing, examples, or terminology.</w:t>
      </w:r>
    </w:p>
    <w:p>
      <w:pPr>
        <w:pStyle w:val="Heading2"/>
      </w:pPr>
      <w:r>
        <w:t xml:space="preserve">4.2 Consistency-Based Indicators (Comparison Evidence)</w:t>
      </w:r>
    </w:p>
    <w:p>
      <w:pPr>
        <w:pStyle w:val="ListParagraph"/>
        <w:numPr>
          <w:ilvl w:val="0"/>
          <w:numId w:val="2"/>
        </w:numPr>
        <w:spacing w:after="80"/>
      </w:pPr>
      <w:r>
        <w:rPr>
          <w:b/>
          <w:bCs/>
        </w:rPr>
        <w:t xml:space="preserve">Discrepancy with in-class work. </w:t>
      </w:r>
      <w:r>
        <w:t xml:space="preserve">A dramatic quality gap between supervised and unsupervised work is strong comparative evidence.</w:t>
      </w:r>
    </w:p>
    <w:p>
      <w:pPr>
        <w:pStyle w:val="ListParagraph"/>
        <w:numPr>
          <w:ilvl w:val="0"/>
          <w:numId w:val="2"/>
        </w:numPr>
        <w:spacing w:after="80"/>
      </w:pPr>
      <w:r>
        <w:rPr>
          <w:b/>
          <w:bCs/>
        </w:rPr>
        <w:t xml:space="preserve">Inconsistency with prior submissions. </w:t>
      </w:r>
      <w:r>
        <w:t xml:space="preserve">A sudden, unexplained leap in quality or sophistication from one assignment to the next.</w:t>
      </w:r>
    </w:p>
    <w:p>
      <w:pPr>
        <w:pStyle w:val="ListParagraph"/>
        <w:numPr>
          <w:ilvl w:val="0"/>
          <w:numId w:val="2"/>
        </w:numPr>
        <w:spacing w:after="80"/>
      </w:pPr>
      <w:r>
        <w:rPr>
          <w:b/>
          <w:bCs/>
        </w:rPr>
        <w:t xml:space="preserve">Mismatch with course performance. </w:t>
      </w:r>
      <w:r>
        <w:t xml:space="preserve">A student struggling on exams but submitting polished take-home work presents a documentable pattern.</w:t>
      </w:r>
    </w:p>
    <w:p>
      <w:pPr>
        <w:pStyle w:val="ListParagraph"/>
        <w:numPr>
          <w:ilvl w:val="0"/>
          <w:numId w:val="2"/>
        </w:numPr>
        <w:spacing w:after="200"/>
      </w:pPr>
      <w:r>
        <w:rPr>
          <w:b/>
          <w:bCs/>
        </w:rPr>
        <w:t xml:space="preserve">Disconnect from scaffolding. </w:t>
      </w:r>
      <w:r>
        <w:t xml:space="preserve">A final product that bears little relationship to required earlier drafts or outlines. This is one of the strongest arguments for scaffolded assignments.</w:t>
      </w:r>
    </w:p>
    <w:p>
      <w:pPr>
        <w:pStyle w:val="Heading2"/>
      </w:pPr>
      <w:r>
        <w:t xml:space="preserve">4.3 Oral and Interactive Indicators (Conversation Evidence)</w:t>
      </w:r>
    </w:p>
    <w:p>
      <w:pPr>
        <w:spacing w:after="200"/>
      </w:pPr>
      <w:r>
        <w:rPr>
          <w:b/>
          <w:bCs/>
        </w:rPr>
        <w:t xml:space="preserve">Note: </w:t>
      </w:r>
      <w:r>
        <w:t xml:space="preserve">Under the LRU Academic Integrity Code (Section B.2), the student-faculty meeting is itself an evidence-gathering opportunity. The student "will have the opportunity to respond to the violations." How the student responds to questions about their work is directly relevant evidence.</w:t>
      </w:r>
    </w:p>
    <w:p>
      <w:pPr>
        <w:pStyle w:val="ListParagraph"/>
        <w:numPr>
          <w:ilvl w:val="0"/>
          <w:numId w:val="2"/>
        </w:numPr>
        <w:spacing w:after="80"/>
      </w:pPr>
      <w:r>
        <w:rPr>
          <w:b/>
          <w:bCs/>
        </w:rPr>
        <w:t xml:space="preserve">Inability to explain or defend the work. </w:t>
      </w:r>
      <w:r>
        <w:t xml:space="preserve">Ask the student to walk through their reasoning, explain specific claims, or define terms they used. A student who did the cognitive work can answer; one who submitted AI output typically cannot. This is widely regarded as the single most effective evidence-gathering strategy.</w:t>
      </w:r>
    </w:p>
    <w:p>
      <w:pPr>
        <w:pStyle w:val="ListParagraph"/>
        <w:numPr>
          <w:ilvl w:val="0"/>
          <w:numId w:val="2"/>
        </w:numPr>
        <w:spacing w:after="80"/>
      </w:pPr>
      <w:r>
        <w:rPr>
          <w:b/>
          <w:bCs/>
        </w:rPr>
        <w:t xml:space="preserve">Inability to describe their process. </w:t>
      </w:r>
      <w:r>
        <w:t xml:space="preserve">Ask what sources the student consulted, how long the assignment took, and what was most difficult. Vague or evasive answers are informative.</w:t>
      </w:r>
    </w:p>
    <w:p>
      <w:pPr>
        <w:pStyle w:val="ListParagraph"/>
        <w:numPr>
          <w:ilvl w:val="0"/>
          <w:numId w:val="2"/>
        </w:numPr>
        <w:spacing w:after="200"/>
      </w:pPr>
      <w:r>
        <w:rPr>
          <w:b/>
          <w:bCs/>
        </w:rPr>
        <w:t xml:space="preserve">Inability to extend the work. </w:t>
      </w:r>
      <w:r>
        <w:t xml:space="preserve">Ask a follow-up question requiring the student to apply their submission's concepts to a new scenario.</w:t>
      </w:r>
    </w:p>
    <w:p>
      <w:pPr>
        <w:pStyle w:val="Heading2"/>
      </w:pPr>
      <w:r>
        <w:t xml:space="preserve">4.4 Metadata and Technical Indicators</w:t>
      </w:r>
    </w:p>
    <w:p>
      <w:pPr>
        <w:pStyle w:val="ListParagraph"/>
        <w:numPr>
          <w:ilvl w:val="0"/>
          <w:numId w:val="2"/>
        </w:numPr>
        <w:spacing w:after="80"/>
      </w:pPr>
      <w:r>
        <w:rPr>
          <w:b/>
          <w:bCs/>
        </w:rPr>
        <w:t xml:space="preserve">Document metadata and edit history. </w:t>
      </w:r>
      <w:r>
        <w:t xml:space="preserve">A document showing a single large paste event rather than incremental writing is suggestive.</w:t>
      </w:r>
    </w:p>
    <w:p>
      <w:pPr>
        <w:pStyle w:val="ListParagraph"/>
        <w:numPr>
          <w:ilvl w:val="0"/>
          <w:numId w:val="2"/>
        </w:numPr>
        <w:spacing w:after="80"/>
      </w:pPr>
      <w:r>
        <w:rPr>
          <w:b/>
          <w:bCs/>
        </w:rPr>
        <w:t xml:space="preserve">AI detection tool output. </w:t>
      </w:r>
      <w:r>
        <w:t xml:space="preserve">A high detection score can be included as supporting evidence but must be accompanied by other indicators. Document the tool, score, and date.</w:t>
      </w:r>
    </w:p>
    <w:p>
      <w:pPr>
        <w:pStyle w:val="ListParagraph"/>
        <w:numPr>
          <w:ilvl w:val="0"/>
          <w:numId w:val="2"/>
        </w:numPr>
        <w:spacing w:after="80"/>
      </w:pPr>
      <w:r>
        <w:rPr>
          <w:b/>
          <w:bCs/>
        </w:rPr>
        <w:t xml:space="preserve">Submission timing patterns. </w:t>
      </w:r>
      <w:r>
        <w:t xml:space="preserve">Minimal time between opening and submitting in the LMS may warrant inquiry.</w:t>
      </w:r>
    </w:p>
    <w:p>
      <w:pPr>
        <w:pStyle w:val="ListParagraph"/>
        <w:numPr>
          <w:ilvl w:val="0"/>
          <w:numId w:val="2"/>
        </w:numPr>
        <w:spacing w:after="200"/>
      </w:pPr>
      <w:r>
        <w:rPr>
          <w:b/>
          <w:bCs/>
        </w:rPr>
        <w:t xml:space="preserve">Code-specific indicators. </w:t>
      </w:r>
      <w:r>
        <w:t xml:space="preserve">Code using libraries or patterns not covered in the course; comments in an inconsistent style; code the student cannot modify or debug live.</w:t>
      </w:r>
    </w:p>
    <w:p>
      <w:pPr>
        <w:pStyle w:val="Heading2"/>
      </w:pPr>
      <w:r>
        <w:t xml:space="preserve">4.5 Evidence Strength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999999" w:sz="1"/>
              <w:left w:val="single" w:color="999999" w:sz="1"/>
              <w:bottom w:val="single" w:color="999999" w:sz="1"/>
              <w:right w:val="single" w:color="999999" w:sz="1"/>
            </w:tcBorders>
            <w:shd w:fill="D5D5D5" w:val="clear"/>
            <w:tcMar>
              <w:top w:type="dxa" w:w="80"/>
              <w:left w:type="dxa" w:w="120"/>
              <w:bottom w:type="dxa" w:w="80"/>
              <w:right w:type="dxa" w:w="120"/>
            </w:tcMar>
          </w:tcPr>
          <w:p>
            <w:r>
              <w:rPr>
                <w:b/>
                <w:bCs/>
              </w:rPr>
              <w:t xml:space="preserve">Evidence Type</w:t>
            </w:r>
          </w:p>
        </w:tc>
        <w:tc>
          <w:tcPr>
            <w:tcW w:type="dxa" w:w="1800"/>
            <w:tcBorders>
              <w:top w:val="single" w:color="999999" w:sz="1"/>
              <w:left w:val="single" w:color="999999" w:sz="1"/>
              <w:bottom w:val="single" w:color="999999" w:sz="1"/>
              <w:right w:val="single" w:color="999999" w:sz="1"/>
            </w:tcBorders>
            <w:shd w:fill="D5D5D5" w:val="clear"/>
            <w:tcMar>
              <w:top w:type="dxa" w:w="80"/>
              <w:left w:type="dxa" w:w="120"/>
              <w:bottom w:type="dxa" w:w="80"/>
              <w:right w:type="dxa" w:w="120"/>
            </w:tcMar>
          </w:tcPr>
          <w:p>
            <w:r>
              <w:rPr>
                <w:b/>
                <w:bCs/>
              </w:rPr>
              <w:t xml:space="preserve">Weight</w:t>
            </w:r>
          </w:p>
        </w:tc>
        <w:tc>
          <w:tcPr>
            <w:tcW w:type="dxa" w:w="3960"/>
            <w:tcBorders>
              <w:top w:val="single" w:color="999999" w:sz="1"/>
              <w:left w:val="single" w:color="999999" w:sz="1"/>
              <w:bottom w:val="single" w:color="999999" w:sz="1"/>
              <w:right w:val="single" w:color="999999" w:sz="1"/>
            </w:tcBorders>
            <w:shd w:fill="D5D5D5" w:val="clear"/>
            <w:tcMar>
              <w:top w:type="dxa" w:w="80"/>
              <w:left w:type="dxa" w:w="120"/>
              <w:bottom w:type="dxa" w:w="80"/>
              <w:right w:type="dxa" w:w="120"/>
            </w:tcMar>
          </w:tcPr>
          <w:p>
            <w:r>
              <w:rPr>
                <w:b/>
                <w:bCs/>
              </w:rPr>
              <w:t xml:space="preserve">Notes</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Fabricated citations/sources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High</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Verifiable, objective, hard to explain away</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Inability to explain own work orally</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High</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Direct demonstration of knowledge gap</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Major discrepancy with in-class work</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High</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Objective comparison, hard to refute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Disconnect from scaffolding/drafts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High</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Requires proactive assignment design</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Content beyond course scope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Medium-High</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Must rule out outside learning</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Sudden quality leap across assignments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Medium</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Could have legitimate explanations</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AI detection tool score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Low-Medium</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Supporting only; never sufficient alone</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Stylistic uniformity/generic tone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Low</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Subjective; many legitimate explanations</w:t>
            </w:r>
          </w:p>
        </w:tc>
      </w:tr>
      <w:tr>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Document metadata (paste events)</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Low-Medium</w:t>
            </w:r>
          </w:p>
        </w:tc>
        <w:tc>
          <w:tcPr>
            <w:tcW w:type="dxa" w:w="39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Suggestive but circumstantial</w:t>
            </w:r>
          </w:p>
        </w:tc>
      </w:tr>
    </w:tbl>
    <w:p>
      <w:pPr>
        <w:spacing w:after="200"/>
      </w:pPr>
    </w:p>
    <w:p>
      <w:pPr>
        <w:pStyle w:val="Heading1"/>
      </w:pPr>
      <w:r>
        <w:t xml:space="preserve">5. What a Strong Case Looks Like</w:t>
      </w:r>
    </w:p>
    <w:p>
      <w:pPr>
        <w:spacing w:after="200"/>
      </w:pPr>
      <w:r>
        <w:t xml:space="preserve">A case likely to meet the preponderance standard at UAIC will typically include at least two to three independent lines of evidence from different categories above. For example:</w:t>
      </w:r>
    </w:p>
    <w:p>
      <w:pPr>
        <w:spacing w:after="200"/>
      </w:pPr>
      <w:r>
        <w:rPr>
          <w:b/>
          <w:bCs/>
        </w:rPr>
        <w:t xml:space="preserve">Strong case (biology): </w:t>
      </w:r>
      <w:r>
        <w:t xml:space="preserve">A student submits a lab report citing three non-existent journal articles (content). The writing quality is substantially above the student's exam performance (consistency). When asked to explain the methodology, the student cannot describe the statistical test they used or why it was appropriate (oral).</w:t>
      </w:r>
    </w:p>
    <w:p>
      <w:pPr>
        <w:spacing w:after="200"/>
      </w:pPr>
      <w:r>
        <w:rPr>
          <w:b/>
          <w:bCs/>
        </w:rPr>
        <w:t xml:space="preserve">Strong case (computer science): </w:t>
      </w:r>
      <w:r>
        <w:t xml:space="preserve">Submitted code uses a design pattern and library not covered in the course (content). Comments are stylistically inconsistent with prior submissions (consistency). The student is unable to modify the code to handle a new edge case in a brief live session (oral).</w:t>
      </w:r>
    </w:p>
    <w:p>
      <w:pPr>
        <w:spacing w:after="200"/>
      </w:pPr>
      <w:r>
        <w:rPr>
          <w:b/>
          <w:bCs/>
        </w:rPr>
        <w:t xml:space="preserve">Strong case (chemistry): </w:t>
      </w:r>
      <w:r>
        <w:t xml:space="preserve">A synthesis analysis references reagent conditions not discussed in the course (content). The required rough draft had only bullet points, but the final is fully polished (scaffolding disconnect). The student cannot explain why a particular protecting group was necessary (oral).</w:t>
      </w:r>
    </w:p>
    <w:p>
      <w:pPr>
        <w:spacing w:after="200"/>
      </w:pPr>
      <w:r>
        <w:rPr>
          <w:b/>
          <w:bCs/>
        </w:rPr>
        <w:t xml:space="preserve">Weak case: </w:t>
      </w:r>
      <w:r>
        <w:t xml:space="preserve">An essay receives a 78% AI-detection score from Turnitin. The faculty member has no in-class samples, required no scaffolding, and has not met with the student. This relies on a single probabilistic data point and is unlikely to meet the preponderance standard. It is also vulnerable on appeal.</w:t>
      </w:r>
    </w:p>
    <w:p>
      <w:r>
        <w:br w:type="page"/>
      </w:r>
    </w:p>
    <w:p>
      <w:pPr>
        <w:pBdr>
          <w:top w:val="single" w:color="000000" w:sz="6" w:space="4"/>
          <w:bottom w:val="single" w:color="000000" w:sz="6" w:space="4"/>
        </w:pBdr>
        <w:spacing w:after="200"/>
        <w:jc w:val="center"/>
      </w:pPr>
      <w:r>
        <w:rPr>
          <w:rFonts w:ascii="Arial" w:cs="Arial" w:eastAsia="Arial" w:hAnsi="Arial"/>
          <w:b/>
          <w:bCs/>
          <w:sz w:val="26"/>
          <w:szCs w:val="26"/>
        </w:rPr>
        <w:t xml:space="preserve">PART TWO: INTERNAL PROCEDURES</w:t>
      </w:r>
    </w:p>
    <w:p>
      <w:pPr>
        <w:spacing w:after="200"/>
      </w:pPr>
      <w:r>
        <w:rPr>
          <w:i/>
          <w:iCs/>
        </w:rPr>
        <w:t xml:space="preserve">This section provides a step-by-step procedure aligned with the LRU Academic Integrity Code (2024-2025, Revised) for handling suspected AI misuse cases. Section and timeline references are to the Academic Integrity Code unless otherwise noted.</w:t>
      </w:r>
    </w:p>
    <w:p>
      <w:pPr>
        <w:pStyle w:val="Heading1"/>
      </w:pPr>
      <w:r>
        <w:t xml:space="preserve">Step 1: Document Your Initial Observations (Within 10 Business Days)</w:t>
      </w:r>
    </w:p>
    <w:p>
      <w:pPr>
        <w:spacing w:after="200"/>
      </w:pPr>
      <w:r>
        <w:rPr>
          <w:b/>
          <w:bCs/>
        </w:rPr>
        <w:t xml:space="preserve">Timeline: </w:t>
      </w:r>
      <w:r>
        <w:t xml:space="preserve">The Academic Integrity Code (Section B.1) requires that alleged violations "should be addressed by the faculty member within 10 business days of receiving knowledge of a possible violation." The clock starts when you first suspect the violation, not when you confirm it.</w:t>
      </w:r>
    </w:p>
    <w:p>
      <w:pPr>
        <w:spacing w:after="200"/>
      </w:pPr>
      <w:r>
        <w:t xml:space="preserve">When you first suspect AI misuse, resist the impulse to confront the student immediately. Instead:</w:t>
      </w:r>
    </w:p>
    <w:p>
      <w:pPr>
        <w:pStyle w:val="ListParagraph"/>
        <w:numPr>
          <w:ilvl w:val="0"/>
          <w:numId w:val="2"/>
        </w:numPr>
        <w:spacing w:after="80"/>
      </w:pPr>
      <w:r>
        <w:t xml:space="preserve">Save the original submission exactly as received (download from the LMS; do not rely solely on the LMS copy).</w:t>
      </w:r>
    </w:p>
    <w:p>
      <w:pPr>
        <w:pStyle w:val="ListParagraph"/>
        <w:numPr>
          <w:ilvl w:val="0"/>
          <w:numId w:val="2"/>
        </w:numPr>
        <w:spacing w:after="80"/>
      </w:pPr>
      <w:r>
        <w:t xml:space="preserve">Write down your initial observations in factual, objective language. What specifically triggered your suspicion? Note page numbers, paragraph numbers, or line numbers.</w:t>
      </w:r>
    </w:p>
    <w:p>
      <w:pPr>
        <w:pStyle w:val="ListParagraph"/>
        <w:numPr>
          <w:ilvl w:val="0"/>
          <w:numId w:val="2"/>
        </w:numPr>
        <w:spacing w:after="80"/>
      </w:pPr>
      <w:r>
        <w:t xml:space="preserve">If applicable, verify any citations or references in the submission. Document which ones do or do not exist.</w:t>
      </w:r>
    </w:p>
    <w:p>
      <w:pPr>
        <w:pStyle w:val="ListParagraph"/>
        <w:numPr>
          <w:ilvl w:val="0"/>
          <w:numId w:val="2"/>
        </w:numPr>
        <w:spacing w:after="80"/>
      </w:pPr>
      <w:r>
        <w:t xml:space="preserve">If you choose to run an AI detection tool, save the report as a PDF with the date. Note: this is optional and should not be your primary evidence.</w:t>
      </w:r>
    </w:p>
    <w:p>
      <w:pPr>
        <w:pStyle w:val="Heading1"/>
      </w:pPr>
      <w:r>
        <w:t xml:space="preserve">Step 2: Gather Comparative Evidence</w:t>
      </w:r>
    </w:p>
    <w:p>
      <w:pPr>
        <w:spacing w:after="200"/>
      </w:pPr>
      <w:r>
        <w:t xml:space="preserve">Before meeting with the student, assemble any available comparison materials:</w:t>
      </w:r>
    </w:p>
    <w:p>
      <w:pPr>
        <w:pStyle w:val="ListParagraph"/>
        <w:numPr>
          <w:ilvl w:val="0"/>
          <w:numId w:val="2"/>
        </w:numPr>
        <w:spacing w:after="80"/>
      </w:pPr>
      <w:r>
        <w:t xml:space="preserve">Previous assignments submitted by this student in your course.</w:t>
      </w:r>
    </w:p>
    <w:p>
      <w:pPr>
        <w:pStyle w:val="ListParagraph"/>
        <w:numPr>
          <w:ilvl w:val="0"/>
          <w:numId w:val="2"/>
        </w:numPr>
        <w:spacing w:after="80"/>
      </w:pPr>
      <w:r>
        <w:t xml:space="preserve">In-class writing samples, quizzes, or exam responses.</w:t>
      </w:r>
    </w:p>
    <w:p>
      <w:pPr>
        <w:pStyle w:val="ListParagraph"/>
        <w:numPr>
          <w:ilvl w:val="0"/>
          <w:numId w:val="2"/>
        </w:numPr>
        <w:spacing w:after="80"/>
      </w:pPr>
      <w:r>
        <w:t xml:space="preserve">Any required scaffolding artifacts (outlines, drafts, peer review notes).</w:t>
      </w:r>
    </w:p>
    <w:p>
      <w:pPr>
        <w:pStyle w:val="ListParagraph"/>
        <w:numPr>
          <w:ilvl w:val="0"/>
          <w:numId w:val="2"/>
        </w:numPr>
        <w:spacing w:after="80"/>
      </w:pPr>
      <w:r>
        <w:t xml:space="preserve">The student's overall course grade profile (exam scores, participation, etc.).</w:t>
      </w:r>
    </w:p>
    <w:p>
      <w:pPr>
        <w:pStyle w:val="ListParagraph"/>
        <w:numPr>
          <w:ilvl w:val="0"/>
          <w:numId w:val="2"/>
        </w:numPr>
        <w:spacing w:after="80"/>
      </w:pPr>
      <w:r>
        <w:t xml:space="preserve">Your syllabus AI use policy (to confirm the student was on notice of expectations).</w:t>
      </w:r>
    </w:p>
    <w:p>
      <w:pPr>
        <w:pStyle w:val="Heading1"/>
      </w:pPr>
      <w:r>
        <w:t xml:space="preserve">Step 3: Check with the Office of Student Life</w:t>
      </w:r>
    </w:p>
    <w:p>
      <w:pPr>
        <w:spacing w:after="200"/>
      </w:pPr>
      <w:r>
        <w:rPr>
          <w:b/>
          <w:bCs/>
        </w:rPr>
        <w:t xml:space="preserve">Required step. </w:t>
      </w:r>
      <w:r>
        <w:t xml:space="preserve">The Academic Integrity Code (Section B.2) requires that before proceeding, "the faculty member must check with the Office of Student Life to determine if the alleged violation should be sent directly to the University Academic Integrity Council (UAIC) or if the faculty member may move forward with a student-faculty meeting." This step is mandatory. The Office of Student Life maintains a database of all academic integrity violations and will know if the student has prior offenses (which may require direct UAIC referral).</w:t>
      </w:r>
    </w:p>
    <w:p>
      <w:pPr>
        <w:pStyle w:val="Heading1"/>
      </w:pPr>
      <w:r>
        <w:t xml:space="preserve">Step 4: Conduct the Student-Faculty Meeting</w:t>
      </w:r>
    </w:p>
    <w:p>
      <w:pPr>
        <w:spacing w:after="200"/>
      </w:pPr>
      <w:r>
        <w:rPr>
          <w:b/>
          <w:bCs/>
        </w:rPr>
        <w:t xml:space="preserve">Timeline: </w:t>
      </w:r>
      <w:r>
        <w:t xml:space="preserve">If the Office of Student Life directs you to hold a student-faculty meeting, you must send the student written notification with the date, time, and location. The meeting should take place no later than 7 business days after the notice is sent (Section B.2). If the violation occurs within the last two weeks of a semester, you may assign a grade of incomplete and schedule the meeting the following semester.</w:t>
      </w:r>
    </w:p>
    <w:p>
      <w:pPr>
        <w:spacing w:after="200"/>
      </w:pPr>
      <w:r>
        <w:rPr>
          <w:b/>
          <w:bCs/>
        </w:rPr>
        <w:t xml:space="preserve">Required notification to the Dean: </w:t>
      </w:r>
      <w:r>
        <w:t xml:space="preserve">The Academic Integrity Code requires that "the faculty member must make the dean of the college aware of the date and time of the student-faculty meeting prior to the meeting occurring" (Section B.2). Notify the CNSM Dean's Office before the meeting.</w:t>
      </w:r>
    </w:p>
    <w:p>
      <w:pPr>
        <w:pStyle w:val="Heading2"/>
      </w:pPr>
      <w:r>
        <w:t xml:space="preserve">4a. Meeting Participants</w:t>
      </w:r>
    </w:p>
    <w:p>
      <w:pPr>
        <w:spacing w:after="200"/>
      </w:pPr>
      <w:r>
        <w:t xml:space="preserve">Per the Academic Integrity Code (Section B.2), participants will include you and the student. The student may also bring an advisor from the Office of Student Life. At your request or the student's, an academic affairs administrator may be present. No attorney or other outside person is permitted.</w:t>
      </w:r>
    </w:p>
    <w:p>
      <w:pPr>
        <w:pStyle w:val="Heading2"/>
      </w:pPr>
      <w:r>
        <w:t xml:space="preserve">4b. Meeting Content</w:t>
      </w:r>
    </w:p>
    <w:p>
      <w:pPr>
        <w:spacing w:after="200"/>
      </w:pPr>
      <w:r>
        <w:t xml:space="preserve">At the meeting, you must review: the alleged violation(s), the evidence that the policy has been violated, a copy of the policy (your syllabus AI statement and the relevant section of the Academic Integrity Code), and the possible sanction(s). The student will have the opportunity to respond (Section B.2).</w:t>
      </w:r>
    </w:p>
    <w:p>
      <w:pPr>
        <w:pStyle w:val="Heading2"/>
      </w:pPr>
      <w:r>
        <w:t xml:space="preserve">4c. Evidence-Gathering Questions</w:t>
      </w:r>
    </w:p>
    <w:p>
      <w:pPr>
        <w:spacing w:after="200"/>
      </w:pPr>
      <w:r>
        <w:rPr>
          <w:i/>
          <w:iCs/>
        </w:rPr>
        <w:t xml:space="preserve">The meeting is both a due process requirement and your most important evidence-gathering opportunity. Use open-ended questions and let the student talk:</w:t>
      </w:r>
    </w:p>
    <w:p>
      <w:pPr>
        <w:pStyle w:val="ListParagraph"/>
        <w:numPr>
          <w:ilvl w:val="0"/>
          <w:numId w:val="3"/>
        </w:numPr>
        <w:spacing w:after="80"/>
      </w:pPr>
      <w:r>
        <w:t xml:space="preserve">"Walk me through how you approached this assignment from start to finish."</w:t>
      </w:r>
    </w:p>
    <w:p>
      <w:pPr>
        <w:pStyle w:val="ListParagraph"/>
        <w:numPr>
          <w:ilvl w:val="0"/>
          <w:numId w:val="3"/>
        </w:numPr>
        <w:spacing w:after="80"/>
      </w:pPr>
      <w:r>
        <w:t xml:space="preserve">"Can you explain [specific claim, term, or method] from your submission?"</w:t>
      </w:r>
    </w:p>
    <w:p>
      <w:pPr>
        <w:pStyle w:val="ListParagraph"/>
        <w:numPr>
          <w:ilvl w:val="0"/>
          <w:numId w:val="3"/>
        </w:numPr>
        <w:spacing w:after="80"/>
      </w:pPr>
      <w:r>
        <w:t xml:space="preserve">"Where did you find [specific source or reference]? Can you tell me more about it?"</w:t>
      </w:r>
    </w:p>
    <w:p>
      <w:pPr>
        <w:pStyle w:val="ListParagraph"/>
        <w:numPr>
          <w:ilvl w:val="0"/>
          <w:numId w:val="3"/>
        </w:numPr>
        <w:spacing w:after="80"/>
      </w:pPr>
      <w:r>
        <w:t xml:space="preserve">"What was the most challenging part of this assignment?"</w:t>
      </w:r>
    </w:p>
    <w:p>
      <w:pPr>
        <w:pStyle w:val="ListParagraph"/>
        <w:numPr>
          <w:ilvl w:val="0"/>
          <w:numId w:val="3"/>
        </w:numPr>
        <w:spacing w:after="80"/>
      </w:pPr>
      <w:r>
        <w:t xml:space="preserve">"If I asked you to extend this analysis to [new scenario], how would you approach it?"</w:t>
      </w:r>
    </w:p>
    <w:p>
      <w:pPr>
        <w:pStyle w:val="ListParagraph"/>
        <w:numPr>
          <w:ilvl w:val="0"/>
          <w:numId w:val="3"/>
        </w:numPr>
        <w:spacing w:after="80"/>
      </w:pPr>
      <w:r>
        <w:t xml:space="preserve">"Did you use any AI tools in preparing this assignment? If so, which ones and how?"</w:t>
      </w:r>
    </w:p>
    <w:p>
      <w:pPr>
        <w:pStyle w:val="ListParagraph"/>
        <w:numPr>
          <w:ilvl w:val="0"/>
          <w:numId w:val="3"/>
        </w:numPr>
        <w:spacing w:after="200"/>
      </w:pPr>
      <w:r>
        <w:t xml:space="preserve">"Is there anything else you'd like me to know about how you completed this work?"</w:t>
      </w:r>
    </w:p>
    <w:p>
      <w:pPr>
        <w:pStyle w:val="Heading2"/>
      </w:pPr>
      <w:r>
        <w:t xml:space="preserve">4d. Documenting the Meeting</w:t>
      </w:r>
    </w:p>
    <w:p>
      <w:pPr>
        <w:pStyle w:val="ListParagraph"/>
        <w:numPr>
          <w:ilvl w:val="0"/>
          <w:numId w:val="2"/>
        </w:numPr>
        <w:spacing w:after="80"/>
      </w:pPr>
      <w:r>
        <w:t xml:space="preserve">Take notes during or immediately after the meeting. Record what you asked, what the student said, and your observations.</w:t>
      </w:r>
    </w:p>
    <w:p>
      <w:pPr>
        <w:pStyle w:val="ListParagraph"/>
        <w:numPr>
          <w:ilvl w:val="0"/>
          <w:numId w:val="2"/>
        </w:numPr>
        <w:spacing w:after="80"/>
      </w:pPr>
      <w:r>
        <w:t xml:space="preserve">Note the date, time, and location of the meeting.</w:t>
      </w:r>
    </w:p>
    <w:p>
      <w:pPr>
        <w:pStyle w:val="ListParagraph"/>
        <w:numPr>
          <w:ilvl w:val="0"/>
          <w:numId w:val="2"/>
        </w:numPr>
        <w:spacing w:after="80"/>
      </w:pPr>
      <w:r>
        <w:t xml:space="preserve">If the student admits to using AI, document the admission with specifics: what tool, what portions of the work, and whether the student understood it violated course policy.</w:t>
      </w:r>
    </w:p>
    <w:p>
      <w:pPr>
        <w:pStyle w:val="ListParagraph"/>
        <w:numPr>
          <w:ilvl w:val="0"/>
          <w:numId w:val="2"/>
        </w:numPr>
        <w:spacing w:after="80"/>
      </w:pPr>
      <w:r>
        <w:rPr>
          <w:b/>
          <w:bCs/>
        </w:rPr>
        <w:t xml:space="preserve">Important: </w:t>
      </w:r>
      <w:r>
        <w:t xml:space="preserve">Do not shift the burden of proof to the student by asking them to complete a similar task during the meeting to "prove their innocence." The burden of proof remains with you as the reporting faculty member.</w:t>
      </w:r>
    </w:p>
    <w:p>
      <w:pPr>
        <w:pStyle w:val="Heading1"/>
      </w:pPr>
      <w:r>
        <w:t xml:space="preserve">Step 5: Student Response and Resolution</w:t>
      </w:r>
    </w:p>
    <w:p>
      <w:pPr>
        <w:pStyle w:val="Heading2"/>
      </w:pPr>
      <w:r>
        <w:t xml:space="preserve">5a. If the Student Accepts Responsibility</w:t>
      </w:r>
    </w:p>
    <w:p>
      <w:pPr>
        <w:spacing w:after="200"/>
      </w:pPr>
      <w:r>
        <w:t xml:space="preserve">Per the Academic Integrity Code (Section B.2):</w:t>
      </w:r>
    </w:p>
    <w:p>
      <w:pPr>
        <w:pStyle w:val="ListParagraph"/>
        <w:numPr>
          <w:ilvl w:val="0"/>
          <w:numId w:val="2"/>
        </w:numPr>
        <w:spacing w:after="80"/>
      </w:pPr>
      <w:r>
        <w:t xml:space="preserve">You will determine an appropriate sanction (see Section B.4 of the Code: written warning, revision of work, reduction in grade, grade of F on the assignment, grade of F in the course, or other educational sanctions in consultation with the UAIC).</w:t>
      </w:r>
    </w:p>
    <w:p>
      <w:pPr>
        <w:pStyle w:val="ListParagraph"/>
        <w:numPr>
          <w:ilvl w:val="0"/>
          <w:numId w:val="2"/>
        </w:numPr>
        <w:spacing w:after="80"/>
      </w:pPr>
      <w:r>
        <w:t xml:space="preserve">You will send the student an outcome letter via email with an attached document explaining the student's right to appeal (Section B.3).</w:t>
      </w:r>
    </w:p>
    <w:p>
      <w:pPr>
        <w:pStyle w:val="ListParagraph"/>
        <w:numPr>
          <w:ilvl w:val="0"/>
          <w:numId w:val="2"/>
        </w:numPr>
        <w:spacing w:after="80"/>
      </w:pPr>
      <w:r>
        <w:t xml:space="preserve">You will send all supporting documents to the Office of Student Life to be filed. This filing is mandatory, even for minor sanctions, as it feeds the database used to track repeat offenders.</w:t>
      </w:r>
    </w:p>
    <w:p>
      <w:pPr>
        <w:pStyle w:val="Heading2"/>
      </w:pPr>
      <w:r>
        <w:t xml:space="preserve">5b. If the Student Does Not Accept Responsibility</w:t>
      </w:r>
    </w:p>
    <w:p>
      <w:pPr>
        <w:spacing w:after="200"/>
      </w:pPr>
      <w:r>
        <w:t xml:space="preserve">Per the Academic Integrity Code (Section B.2):</w:t>
      </w:r>
    </w:p>
    <w:p>
      <w:pPr>
        <w:pStyle w:val="ListParagraph"/>
        <w:numPr>
          <w:ilvl w:val="0"/>
          <w:numId w:val="2"/>
        </w:numPr>
        <w:spacing w:after="80"/>
      </w:pPr>
      <w:r>
        <w:t xml:space="preserve">You will refer the report and all supporting documents to the UAIC with your suggested sanction(s).</w:t>
      </w:r>
    </w:p>
    <w:p>
      <w:pPr>
        <w:pStyle w:val="ListParagraph"/>
        <w:numPr>
          <w:ilvl w:val="0"/>
          <w:numId w:val="2"/>
        </w:numPr>
        <w:spacing w:after="80"/>
      </w:pPr>
      <w:r>
        <w:t xml:space="preserve">The UAIC will notify the student in writing of the hearing date, time, and location within 10 business days of receiving your referral.</w:t>
      </w:r>
    </w:p>
    <w:p>
      <w:pPr>
        <w:pStyle w:val="ListParagraph"/>
        <w:numPr>
          <w:ilvl w:val="0"/>
          <w:numId w:val="2"/>
        </w:numPr>
        <w:spacing w:after="200"/>
      </w:pPr>
      <w:r>
        <w:t xml:space="preserve">You will attend the UAIC meeting to summarize the incident. The student will have an opportunity to respond. The UAIC may modify, reject, or uphold your suggested sanction.</w:t>
      </w:r>
    </w:p>
    <w:p>
      <w:pPr>
        <w:pStyle w:val="Heading2"/>
      </w:pPr>
      <w:r>
        <w:t xml:space="preserve">5c. Preparing Your UAIC Referral Packet</w:t>
      </w:r>
    </w:p>
    <w:p>
      <w:pPr>
        <w:spacing w:after="200"/>
      </w:pPr>
      <w:r>
        <w:t xml:space="preserve">Your referral should include:</w:t>
      </w:r>
    </w:p>
    <w:p>
      <w:pPr>
        <w:pStyle w:val="ListParagraph"/>
        <w:numPr>
          <w:ilvl w:val="0"/>
          <w:numId w:val="4"/>
        </w:numPr>
        <w:spacing w:after="80"/>
      </w:pPr>
      <w:r>
        <w:rPr>
          <w:b/>
          <w:bCs/>
        </w:rPr>
        <w:t xml:space="preserve">Written narrative: </w:t>
      </w:r>
      <w:r>
        <w:t xml:space="preserve">A chronological account of what triggered your suspicion, what evidence you gathered, what the student said in the meeting, and why you believe the preponderance standard is met.</w:t>
      </w:r>
    </w:p>
    <w:p>
      <w:pPr>
        <w:pStyle w:val="ListParagraph"/>
        <w:numPr>
          <w:ilvl w:val="0"/>
          <w:numId w:val="4"/>
        </w:numPr>
        <w:spacing w:after="80"/>
      </w:pPr>
      <w:r>
        <w:rPr>
          <w:b/>
          <w:bCs/>
        </w:rPr>
        <w:t xml:space="preserve">The original submission </w:t>
      </w:r>
      <w:r>
        <w:t xml:space="preserve">exactly as received.</w:t>
      </w:r>
    </w:p>
    <w:p>
      <w:pPr>
        <w:pStyle w:val="ListParagraph"/>
        <w:numPr>
          <w:ilvl w:val="0"/>
          <w:numId w:val="4"/>
        </w:numPr>
        <w:spacing w:after="80"/>
      </w:pPr>
      <w:r>
        <w:rPr>
          <w:b/>
          <w:bCs/>
        </w:rPr>
        <w:t xml:space="preserve">Your syllabus </w:t>
      </w:r>
      <w:r>
        <w:t xml:space="preserve">with the AI use policy highlighted.</w:t>
      </w:r>
    </w:p>
    <w:p>
      <w:pPr>
        <w:pStyle w:val="ListParagraph"/>
        <w:numPr>
          <w:ilvl w:val="0"/>
          <w:numId w:val="4"/>
        </w:numPr>
        <w:spacing w:after="80"/>
      </w:pPr>
      <w:r>
        <w:rPr>
          <w:b/>
          <w:bCs/>
        </w:rPr>
        <w:t xml:space="preserve">Comparative evidence: </w:t>
      </w:r>
      <w:r>
        <w:t xml:space="preserve">prior submissions, in-class work, exam responses, scaffolding artifacts.</w:t>
      </w:r>
    </w:p>
    <w:p>
      <w:pPr>
        <w:pStyle w:val="ListParagraph"/>
        <w:numPr>
          <w:ilvl w:val="0"/>
          <w:numId w:val="4"/>
        </w:numPr>
        <w:spacing w:after="80"/>
      </w:pPr>
      <w:r>
        <w:rPr>
          <w:b/>
          <w:bCs/>
        </w:rPr>
        <w:t xml:space="preserve">Meeting notes </w:t>
      </w:r>
      <w:r>
        <w:t xml:space="preserve">from your student-faculty meeting.</w:t>
      </w:r>
    </w:p>
    <w:p>
      <w:pPr>
        <w:pStyle w:val="ListParagraph"/>
        <w:numPr>
          <w:ilvl w:val="0"/>
          <w:numId w:val="4"/>
        </w:numPr>
        <w:spacing w:after="80"/>
      </w:pPr>
      <w:r>
        <w:rPr>
          <w:b/>
          <w:bCs/>
        </w:rPr>
        <w:t xml:space="preserve">AI detection report (if used) </w:t>
      </w:r>
      <w:r>
        <w:t xml:space="preserve">with tool name, score, and date.</w:t>
      </w:r>
    </w:p>
    <w:p>
      <w:pPr>
        <w:pStyle w:val="ListParagraph"/>
        <w:numPr>
          <w:ilvl w:val="0"/>
          <w:numId w:val="4"/>
        </w:numPr>
        <w:spacing w:after="80"/>
      </w:pPr>
      <w:r>
        <w:rPr>
          <w:b/>
          <w:bCs/>
        </w:rPr>
        <w:t xml:space="preserve">Documentation of fabricated citations </w:t>
      </w:r>
      <w:r>
        <w:t xml:space="preserve">or factual errors, if applicable.</w:t>
      </w:r>
    </w:p>
    <w:p>
      <w:pPr>
        <w:pStyle w:val="ListParagraph"/>
        <w:numPr>
          <w:ilvl w:val="0"/>
          <w:numId w:val="4"/>
        </w:numPr>
        <w:spacing w:after="200"/>
      </w:pPr>
      <w:r>
        <w:rPr>
          <w:b/>
          <w:bCs/>
        </w:rPr>
        <w:t xml:space="preserve">Your suggested sanction(s) </w:t>
      </w:r>
      <w:r>
        <w:t xml:space="preserve">from the options in Section B.4 of the Academic Integrity Code.</w:t>
      </w:r>
    </w:p>
    <w:p>
      <w:pPr>
        <w:pStyle w:val="Heading1"/>
      </w:pPr>
      <w:r>
        <w:t xml:space="preserve">Step 6: The UAIC Hearing</w:t>
      </w:r>
    </w:p>
    <w:p>
      <w:pPr>
        <w:spacing w:after="200"/>
      </w:pPr>
      <w:r>
        <w:t xml:space="preserve">The UAIC consists of a representative from BEAR Central, an assistant provost, the dean of the library, and a student representative (Section B.2). You will be asked to present your evidence and respond to questions. Preparation tips:</w:t>
      </w:r>
    </w:p>
    <w:p>
      <w:pPr>
        <w:pStyle w:val="ListParagraph"/>
        <w:numPr>
          <w:ilvl w:val="0"/>
          <w:numId w:val="2"/>
        </w:numPr>
        <w:spacing w:after="80"/>
      </w:pPr>
      <w:r>
        <w:t xml:space="preserve">Organize your evidence by category (content, consistency, oral, technical) so you can present a coherent narrative.</w:t>
      </w:r>
    </w:p>
    <w:p>
      <w:pPr>
        <w:pStyle w:val="ListParagraph"/>
        <w:numPr>
          <w:ilvl w:val="0"/>
          <w:numId w:val="2"/>
        </w:numPr>
        <w:spacing w:after="80"/>
      </w:pPr>
      <w:r>
        <w:t xml:space="preserve">Be prepared to explain why each piece of evidence matters and what alternative explanations you considered.</w:t>
      </w:r>
    </w:p>
    <w:p>
      <w:pPr>
        <w:pStyle w:val="ListParagraph"/>
        <w:numPr>
          <w:ilvl w:val="0"/>
          <w:numId w:val="2"/>
        </w:numPr>
        <w:spacing w:after="80"/>
      </w:pPr>
      <w:r>
        <w:t xml:space="preserve">If you used an AI detection tool, be prepared to explain its limitations and why you are not relying on it alone.</w:t>
      </w:r>
    </w:p>
    <w:p>
      <w:pPr>
        <w:pStyle w:val="ListParagraph"/>
        <w:numPr>
          <w:ilvl w:val="0"/>
          <w:numId w:val="2"/>
        </w:numPr>
        <w:spacing w:after="80"/>
      </w:pPr>
      <w:r>
        <w:t xml:space="preserve">Focus on observable facts, not judgments about the student's character or intentions.</w:t>
      </w:r>
    </w:p>
    <w:p>
      <w:pPr>
        <w:pStyle w:val="ListParagraph"/>
        <w:numPr>
          <w:ilvl w:val="0"/>
          <w:numId w:val="2"/>
        </w:numPr>
        <w:spacing w:after="200"/>
      </w:pPr>
      <w:r>
        <w:t xml:space="preserve">If you need assistance, the Dean's Office is available for consultation at any stage.</w:t>
      </w:r>
    </w:p>
    <w:p>
      <w:pPr>
        <w:pStyle w:val="Heading1"/>
      </w:pPr>
      <w:r>
        <w:t xml:space="preserve">Step 7: Understanding the Appeal Process</w:t>
      </w:r>
    </w:p>
    <w:p>
      <w:pPr>
        <w:spacing w:after="200"/>
      </w:pPr>
      <w:r>
        <w:t xml:space="preserve">If the student is found responsible, they may appeal by submitting an appeal form to the Office of Student Life within 72 hours (Section B.3). There are four grounds for appeal:</w:t>
      </w:r>
    </w:p>
    <w:p>
      <w:pPr>
        <w:pStyle w:val="ListParagraph"/>
        <w:numPr>
          <w:ilvl w:val="0"/>
          <w:numId w:val="2"/>
        </w:numPr>
        <w:spacing w:after="80"/>
      </w:pPr>
      <w:r>
        <w:rPr>
          <w:b/>
          <w:bCs/>
        </w:rPr>
        <w:t xml:space="preserve">The evidence did not support the decision. </w:t>
      </w:r>
      <w:r>
        <w:t xml:space="preserve">This is the most likely basis for appeal in an AI case. A well-documented, multi-evidence case significantly reduces this risk.</w:t>
      </w:r>
    </w:p>
    <w:p>
      <w:pPr>
        <w:pStyle w:val="ListParagraph"/>
        <w:numPr>
          <w:ilvl w:val="0"/>
          <w:numId w:val="2"/>
        </w:numPr>
        <w:spacing w:after="80"/>
      </w:pPr>
      <w:r>
        <w:rPr>
          <w:b/>
          <w:bCs/>
        </w:rPr>
        <w:t xml:space="preserve">The decision did not support the sanction. </w:t>
      </w:r>
      <w:r>
        <w:t xml:space="preserve">The sanction was disproportionate to the violation.</w:t>
      </w:r>
    </w:p>
    <w:p>
      <w:pPr>
        <w:pStyle w:val="ListParagraph"/>
        <w:numPr>
          <w:ilvl w:val="0"/>
          <w:numId w:val="2"/>
        </w:numPr>
        <w:spacing w:after="80"/>
      </w:pPr>
      <w:r>
        <w:rPr>
          <w:b/>
          <w:bCs/>
        </w:rPr>
        <w:t xml:space="preserve">Proper procedures were not followed. </w:t>
      </w:r>
      <w:r>
        <w:t xml:space="preserve">This is why following the exact timelines and steps in the Academic Integrity Code matters. Missing the 10-business-day window, failing to check with Student Life first, or failing to notify the Dean's Office before the meeting could provide grounds for appeal.</w:t>
      </w:r>
    </w:p>
    <w:p>
      <w:pPr>
        <w:pStyle w:val="ListParagraph"/>
        <w:numPr>
          <w:ilvl w:val="0"/>
          <w:numId w:val="2"/>
        </w:numPr>
        <w:spacing w:after="200"/>
      </w:pPr>
      <w:r>
        <w:rPr>
          <w:b/>
          <w:bCs/>
        </w:rPr>
        <w:t xml:space="preserve">Possible bias or prejudice. </w:t>
      </w:r>
      <w:r>
        <w:t xml:space="preserve">This underscores the importance of approaching the student meeting with genuine openness and using factual, non-accusatory language throughout.</w:t>
      </w:r>
    </w:p>
    <w:p>
      <w:pPr>
        <w:spacing w:after="200"/>
      </w:pPr>
      <w:r>
        <w:rPr>
          <w:i/>
          <w:iCs/>
        </w:rPr>
        <w:t xml:space="preserve">The appeals council consists of the dean of students, an assistant, and the dean of the college in which the course was offered (Section B.3). The appeals council's decision is final.</w:t>
      </w:r>
    </w:p>
    <w:p>
      <w:r>
        <w:br w:type="page"/>
      </w:r>
    </w:p>
    <w:p>
      <w:pPr>
        <w:pStyle w:val="Heading1"/>
      </w:pPr>
      <w:r>
        <w:t xml:space="preserve">Appendix: Proactive Strategies That Create Evidence Before You Need It</w:t>
      </w:r>
    </w:p>
    <w:p>
      <w:pPr>
        <w:spacing w:after="200"/>
      </w:pPr>
      <w:r>
        <w:rPr>
          <w:i/>
          <w:iCs/>
        </w:rPr>
        <w:t xml:space="preserve">The best evidence cases are built on foundations laid before a violation occurs. These course design strategies create the artifacts you will need if a case arises:</w:t>
      </w:r>
    </w:p>
    <w:p>
      <w:pPr>
        <w:pStyle w:val="ListParagraph"/>
        <w:numPr>
          <w:ilvl w:val="0"/>
          <w:numId w:val="2"/>
        </w:numPr>
        <w:spacing w:after="80"/>
      </w:pPr>
      <w:r>
        <w:rPr>
          <w:b/>
          <w:bCs/>
        </w:rPr>
        <w:t xml:space="preserve">Collect an in-class writing baseline early in the semester. </w:t>
      </w:r>
      <w:r>
        <w:t xml:space="preserve">A brief in-class exercise (10-15 minutes) in the first two weeks gives you a reference sample of each student's unassisted writing. This is the single most useful artifact for comparison. Keep these on file.</w:t>
      </w:r>
    </w:p>
    <w:p>
      <w:pPr>
        <w:pStyle w:val="ListParagraph"/>
        <w:numPr>
          <w:ilvl w:val="0"/>
          <w:numId w:val="2"/>
        </w:numPr>
        <w:spacing w:after="80"/>
      </w:pPr>
      <w:r>
        <w:rPr>
          <w:b/>
          <w:bCs/>
        </w:rPr>
        <w:t xml:space="preserve">Require scaffolding on major assignments. </w:t>
      </w:r>
      <w:r>
        <w:t xml:space="preserve">Even a simple outline or rough draft creates a comparison artifact. A disconnected final product becomes evidence.</w:t>
      </w:r>
    </w:p>
    <w:p>
      <w:pPr>
        <w:pStyle w:val="ListParagraph"/>
        <w:numPr>
          <w:ilvl w:val="0"/>
          <w:numId w:val="2"/>
        </w:numPr>
        <w:spacing w:after="80"/>
      </w:pPr>
      <w:r>
        <w:rPr>
          <w:b/>
          <w:bCs/>
        </w:rPr>
        <w:t xml:space="preserve">Include an oral component on key assignments. </w:t>
      </w:r>
      <w:r>
        <w:t xml:space="preserve">A brief (3-5 minute) conversation about their work creates evidence of understanding and deters AI submission.</w:t>
      </w:r>
    </w:p>
    <w:p>
      <w:pPr>
        <w:pStyle w:val="ListParagraph"/>
        <w:numPr>
          <w:ilvl w:val="0"/>
          <w:numId w:val="2"/>
        </w:numPr>
        <w:spacing w:after="80"/>
      </w:pPr>
      <w:r>
        <w:rPr>
          <w:b/>
          <w:bCs/>
        </w:rPr>
        <w:t xml:space="preserve">Use local, specific, or personalized prompts. </w:t>
      </w:r>
      <w:r>
        <w:t xml:space="preserve">Assignments referencing specific in-class discussions, local data, or personalized scenarios are harder to outsource to AI.</w:t>
      </w:r>
    </w:p>
    <w:p>
      <w:pPr>
        <w:pStyle w:val="ListParagraph"/>
        <w:numPr>
          <w:ilvl w:val="0"/>
          <w:numId w:val="2"/>
        </w:numPr>
        <w:spacing w:after="80"/>
      </w:pPr>
      <w:r>
        <w:rPr>
          <w:b/>
          <w:bCs/>
        </w:rPr>
        <w:t xml:space="preserve">State your AI policy clearly and repeatedly. </w:t>
      </w:r>
      <w:r>
        <w:t xml:space="preserve">Include it in your syllabus, repeat it on assignment instructions, and discuss it in class. The Academic Integrity Code places a duty on instructors to communicate expectations and a duty on students to understand them. Clear, repeated notice strengthens any case.</w:t>
      </w:r>
    </w:p>
    <w:p>
      <w:pPr>
        <w:pStyle w:val="ListParagraph"/>
        <w:numPr>
          <w:ilvl w:val="0"/>
          <w:numId w:val="2"/>
        </w:numPr>
        <w:spacing w:after="200"/>
      </w:pPr>
      <w:r>
        <w:rPr>
          <w:b/>
          <w:bCs/>
        </w:rPr>
        <w:t xml:space="preserve">Keep records. </w:t>
      </w:r>
      <w:r>
        <w:t xml:space="preserve">Save copies of all student submissions for the semester. Google Docs version history creates an automatic audit trail.</w:t>
      </w:r>
    </w:p>
    <w:p>
      <w:pPr>
        <w:pStyle w:val="Heading1"/>
      </w:pPr>
      <w:r>
        <w:t xml:space="preserve">Quick Reference: Key Timelines from the Academic Integrity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999999" w:sz="1"/>
              <w:left w:val="single" w:color="999999" w:sz="1"/>
              <w:bottom w:val="single" w:color="999999" w:sz="1"/>
              <w:right w:val="single" w:color="999999" w:sz="1"/>
            </w:tcBorders>
            <w:shd w:fill="D5D5D5" w:val="clear"/>
            <w:tcMar>
              <w:top w:type="dxa" w:w="80"/>
              <w:left w:type="dxa" w:w="120"/>
              <w:bottom w:type="dxa" w:w="80"/>
              <w:right w:type="dxa" w:w="120"/>
            </w:tcMar>
          </w:tcPr>
          <w:p>
            <w:r>
              <w:rPr>
                <w:b/>
                <w:bCs/>
              </w:rPr>
              <w:t xml:space="preserve">Action</w:t>
            </w:r>
          </w:p>
        </w:tc>
        <w:tc>
          <w:tcPr>
            <w:tcW w:type="dxa" w:w="4360"/>
            <w:tcBorders>
              <w:top w:val="single" w:color="999999" w:sz="1"/>
              <w:left w:val="single" w:color="999999" w:sz="1"/>
              <w:bottom w:val="single" w:color="999999" w:sz="1"/>
              <w:right w:val="single" w:color="999999" w:sz="1"/>
            </w:tcBorders>
            <w:shd w:fill="D5D5D5" w:val="clear"/>
            <w:tcMar>
              <w:top w:type="dxa" w:w="80"/>
              <w:left w:type="dxa" w:w="120"/>
              <w:bottom w:type="dxa" w:w="80"/>
              <w:right w:type="dxa" w:w="120"/>
            </w:tcMar>
          </w:tcPr>
          <w:p>
            <w:r>
              <w:rPr>
                <w:b/>
                <w:bCs/>
              </w:rPr>
              <w:t xml:space="preserve">Timeline</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Faculty addresses alleged violation</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Within 10 business days of knowledge</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Check with Office of Student Life</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Before proceeding (no specific deadline)</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Notify Dean of meeting date/time</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Before the meeting occurs</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Student-faculty meeting after notice</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No later than 7 business days</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UAIC notifies student of hearing</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Within 10 business days of receiving referral</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Student files appeal</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Within 72 hours of outcome letter</w:t>
            </w:r>
          </w:p>
        </w:tc>
      </w:tr>
      <w:tr>
        <w:tc>
          <w:tcPr>
            <w:tcW w:type="dxa" w:w="500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End-of-semester violations</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Assign Incomplete; meet next semester</w:t>
            </w:r>
          </w:p>
        </w:tc>
      </w:tr>
    </w:tbl>
    <w:p>
      <w:pPr>
        <w:spacing w:after="200"/>
      </w:pPr>
    </w:p>
    <w:p>
      <w:pPr>
        <w:pBdr>
          <w:top w:val="single" w:color="999999" w:sz="4" w:space="4"/>
        </w:pBdr>
        <w:spacing w:after="200"/>
      </w:pPr>
      <w:r>
        <w:rPr>
          <w:b/>
          <w:bCs/>
        </w:rPr>
        <w:t xml:space="preserve">Questions or need help preparing a case? </w:t>
      </w:r>
      <w:r>
        <w:t xml:space="preserve">Contact the CNSM Dean's Office. The Dean is available for confidential consultation at any stage, from initial suspicion through UAIC referral and hearing preparation.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tabs>
        <w:tab w:val="right" w:pos="9026"/>
      </w:tabs>
    </w:pPr>
    <w:r>
      <w:rPr>
        <w:rFonts w:ascii="Arial" w:cs="Arial" w:eastAsia="Arial" w:hAnsi="Arial"/>
        <w:color w:val="666666"/>
        <w:sz w:val="16"/>
        <w:szCs w:val="16"/>
      </w:rPr>
      <w:t xml:space="preserve">Dr. Shaun Williams &amp; Claude AI</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tabs>
        <w:tab w:val="right" w:pos="9026"/>
      </w:tabs>
      <w:spacing w:after="200"/>
    </w:pPr>
    <w:r>
      <w:rPr>
        <w:rFonts w:ascii="Arial" w:cs="Arial" w:eastAsia="Arial" w:hAnsi="Arial"/>
        <w:i/>
        <w:iCs/>
        <w:color w:val="666666"/>
        <w:sz w:val="18"/>
        <w:szCs w:val="18"/>
      </w:rPr>
      <w:t xml:space="preserve">CNSM Internal Document</w:t>
    </w:r>
    <w:r>
      <w:rPr>
        <w:rFonts w:ascii="Arial" w:cs="Arial" w:eastAsia="Arial" w:hAnsi="Arial"/>
        <w:i/>
        <w:iCs/>
        <w:color w:val="666666"/>
        <w:sz w:val="18"/>
        <w:szCs w:val="18"/>
      </w:rPr>
      <w:t xml:space="preserve">	Lenoir-Rhyne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00000"/>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2026-04-13T17:08:27.773Z</dcterms:created>
  <dcterms:modified xsi:type="dcterms:W3CDTF">2026-04-13T17:08:27.774Z</dcterms:modified>
</cp:coreProperties>
</file>

<file path=docProps/custom.xml><?xml version="1.0" encoding="utf-8"?>
<Properties xmlns="http://schemas.openxmlformats.org/officeDocument/2006/custom-properties" xmlns:vt="http://schemas.openxmlformats.org/officeDocument/2006/docPropsVTypes"/>
</file>