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2880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26"/>
        </w:rPr>
        <w:t xml:space="preserve">Problema 4. Estadística descriptiva de la ENIGH, 1992-2024</w:t>
      </w:r>
    </w:p>
    <w:p>
      <w:pPr>
        <w:spacing w:after="11520"/>
        <w:jc w:val="left"/>
      </w:pPr>
      <w:r>
        <w:t/>
      </w:r>
      <w:r>
        <w:rPr>
          <w:rFonts w:ascii="Times New Roman" w:hAnsi="Times New Roman" w:eastAsia="Times New Roman" w:cs="Times New Roman"/>
          <w:sz w:val="20"/>
        </w:rPr>
        <w:t xml:space="preserve">Población de 20 a 65 años de edad. Todas las cifras están ponderadas con el factor de expansión de la encuesta.</w:t>
      </w:r>
    </w:p>
    <w:p>
      <w:pPr>
        <w:spacing w:before="1440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18"/>
        </w:rPr>
        <w:t xml:space="preserve">Cuadro 1</w:t>
      </w:r>
      <w:r>
        <w:rPr>
          <w:rFonts w:ascii="Times New Roman" w:hAnsi="Times New Roman" w:eastAsia="Times New Roman" w:cs="Times New Roman"/>
          <w:sz w:val="18"/>
        </w:rPr>
        <w:t xml:space="preserve">  </w:t>
      </w:r>
      <w:r>
        <w:rPr>
          <w:rFonts w:ascii="Times New Roman" w:hAnsi="Times New Roman" w:eastAsia="Times New Roman" w:cs="Times New Roman"/>
          <w:sz w:val="18"/>
        </w:rPr>
        <w:t xml:space="preserve">Distribución de individuos y hogares en la ENIGH, 1992-2024</w:t>
      </w:r>
    </w:p>
    <w:tbl>
      <w:tblPr>
        <w:tblStyle w:val="TableGrid"/>
        <w:jc w:val="center"/>
        <w:tblLayout w:type="autofit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Año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Hogares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Personas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1992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16,370,587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41,333,233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17,325,317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44,064,533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18,114,932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45,975,487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19,348,330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48,278,550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20,464,383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51,449,764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21,067,982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53,239,814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21,702,522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54,714,368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21,956,478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55,422,628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23,198,078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57,366,796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23,428,454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59,821,946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24,779,957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62,640,192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26,391,385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65,212,621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26,434,731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67,059,977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27,284,350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68,371,030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28,211,706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71,085,992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28,597,475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74,440,616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30,018,471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76,155,208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30,672,277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77,617,163</w:t>
            </w:r>
          </w:p>
        </w:tc>
      </w:tr>
      <w:tr>
        <w:tc>
          <w:tcPr>
            <w:gridSpan w:val="3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  <w:sz w:val="16"/>
              </w:rPr>
              <w:t xml:space="preserve">Fuente: elaboración propia con datos de la ENIGH (INEGI), 1992-2024.</w:t>
            </w:r>
          </w:p>
        </w:tc>
      </w:tr>
    </w:tbl>
    <w:p>
      <w:r>
        <w:t/>
      </w:r>
    </w:p>
    <w:p>
      <w:pPr>
        <w:spacing w:before="1440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16"/>
        </w:rPr>
        <w:t xml:space="preserve">Cuadro 2</w:t>
      </w:r>
      <w:r>
        <w:rPr>
          <w:rFonts w:ascii="Times New Roman" w:hAnsi="Times New Roman" w:eastAsia="Times New Roman" w:cs="Times New Roman"/>
          <w:sz w:val="16"/>
        </w:rPr>
        <w:t xml:space="preserve">  </w:t>
      </w:r>
      <w:r>
        <w:rPr>
          <w:rFonts w:ascii="Times New Roman" w:hAnsi="Times New Roman" w:eastAsia="Times New Roman" w:cs="Times New Roman"/>
          <w:sz w:val="16"/>
        </w:rPr>
        <w:t xml:space="preserve">Indicadores educativos en la ENIGH, 1992-2024</w:t>
      </w:r>
    </w:p>
    <w:tbl>
      <w:tblPr>
        <w:tblStyle w:val="TableGrid"/>
        <w:jc w:val="center"/>
        <w:tblLayout w:type="autofit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Año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instrucción (%)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Primaria (%)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Secundaria (%)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Media superior (%)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Superior (%)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Posgrado (%)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Universitaria (%)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1992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14.35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45.22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21.25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8.63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10.12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0.43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10.55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1994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14.61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42.33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22.36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9.72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10.50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0.48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10.98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1996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11.59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42.49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23.54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10.72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11.06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0.60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11.66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1998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9.91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41.41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25.37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10.83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11.90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0.58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12.48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8.69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39.37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25.74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11.19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14.27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0.75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15.02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8.59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37.62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25.49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13.11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14.40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0.78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15.19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7.60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35.16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23.54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12.39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20.27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1.04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21.31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7.16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34.35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23.09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13.44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20.82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1.14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21.96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6.29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33.29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14.32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20.43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1.34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21.77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6.12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32.75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24.57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14.57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20.78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1.21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22.00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5.60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30.13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25.65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15.30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21.90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1.43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23.32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4.90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28.34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27.47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16.28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21.38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1.63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23.01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4.38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26.00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27.37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18.71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21.90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1.64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23.54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3.83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23.88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29.07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18.84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22.54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1.85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24.38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3.63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22.01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28.97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19.95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23.58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1.87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25.45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3.20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20.12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28.40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21.23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25.00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2.04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27.04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2.92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19.20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28.29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22.16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25.36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2.06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27.42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2.67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17.33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27.96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23.11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26.88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2.04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28.93</w:t>
            </w:r>
          </w:p>
        </w:tc>
      </w:tr>
      <w:tr>
        <w:tc>
          <w:tcPr>
            <w:gridSpan w:val="8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  <w:sz w:val="16"/>
              </w:rPr>
              <w:t xml:space="preserve">Fuente: elaboración propia con datos de la ENIGH (INEGI), 1992-2024.</w:t>
            </w:r>
          </w:p>
        </w:tc>
      </w:tr>
    </w:tbl>
    <w:p>
      <w:r>
        <w:t/>
      </w:r>
    </w:p>
    <w:p>
      <w:pPr>
        <w:spacing w:before="1440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18"/>
        </w:rPr>
        <w:t xml:space="preserve">Cuadro 3</w:t>
      </w:r>
      <w:r>
        <w:rPr>
          <w:rFonts w:ascii="Times New Roman" w:hAnsi="Times New Roman" w:eastAsia="Times New Roman" w:cs="Times New Roman"/>
          <w:sz w:val="18"/>
        </w:rPr>
        <w:t xml:space="preserve">  </w:t>
      </w:r>
      <w:r>
        <w:rPr>
          <w:rFonts w:ascii="Times New Roman" w:hAnsi="Times New Roman" w:eastAsia="Times New Roman" w:cs="Times New Roman"/>
          <w:sz w:val="18"/>
        </w:rPr>
        <w:t xml:space="preserve">Indicadores de ocupación en la ENIGH, 1992-2024</w:t>
      </w:r>
    </w:p>
    <w:tbl>
      <w:tblPr>
        <w:tblStyle w:val="TableGrid"/>
        <w:jc w:val="center"/>
        <w:tblLayout w:type="autofit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Año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Ocupado (%)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No ocupado (%)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1992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60.48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39.52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63.20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36.80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64.79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35.21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66.17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33.83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65.96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34.04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66.96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33.04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65.16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34.84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66.26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33.74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69.30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30.70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65.39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34.61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63.89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36.11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70.41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29.59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68.31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31.69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71.76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28.24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72.07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27.93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68.58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31.42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72.21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27.79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72.39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27.61</w:t>
            </w:r>
          </w:p>
        </w:tc>
      </w:tr>
      <w:tr>
        <w:tc>
          <w:tcPr>
            <w:gridSpan w:val="3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  <w:sz w:val="16"/>
              </w:rPr>
              <w:t xml:space="preserve">Fuente: elaboración propia con datos de la ENIGH (INEGI), 1992-2024.</w:t>
            </w:r>
          </w:p>
        </w:tc>
      </w:tr>
    </w:tbl>
    <w:p>
      <w:r>
        <w:t/>
      </w:r>
    </w:p>
    <w:p>
      <w:pPr>
        <w:spacing w:before="1440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18"/>
        </w:rPr>
        <w:t xml:space="preserve">Cuadro 4</w:t>
      </w:r>
      <w:r>
        <w:rPr>
          <w:rFonts w:ascii="Times New Roman" w:hAnsi="Times New Roman" w:eastAsia="Times New Roman" w:cs="Times New Roman"/>
          <w:sz w:val="18"/>
        </w:rPr>
        <w:t xml:space="preserve">  </w:t>
      </w:r>
      <w:r>
        <w:rPr>
          <w:rFonts w:ascii="Times New Roman" w:hAnsi="Times New Roman" w:eastAsia="Times New Roman" w:cs="Times New Roman"/>
          <w:sz w:val="18"/>
        </w:rPr>
        <w:t xml:space="preserve">Comparativo entre zonas rurales y urbanas en la ENIGH, 1992-2024</w:t>
      </w:r>
    </w:p>
    <w:tbl>
      <w:tblPr>
        <w:tblStyle w:val="TableGrid"/>
        <w:jc w:val="center"/>
        <w:tblLayout w:type="autofit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Año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Urbano (%)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Rural (%)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1992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76.89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23.11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77.23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22.77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78.02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21.98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78.05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21.95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78.26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21.74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78.19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21.81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78.86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21.14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78.80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21.20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79.47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20.53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79.65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20.35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79.49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20.51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79.45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20.55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79.19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20.81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79.04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20.96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77.76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22.24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78.95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21.05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77.53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22.47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80.09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19.91</w:t>
            </w:r>
          </w:p>
        </w:tc>
      </w:tr>
      <w:tr>
        <w:tc>
          <w:tcPr>
            <w:gridSpan w:val="3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  <w:sz w:val="16"/>
              </w:rPr>
              <w:t xml:space="preserve">Fuente: elaboración propia con datos de la ENIGH (INEGI), 1992-2024.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