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pPr>
        <w:spacing w:after="2880"/>
        <w:jc w:val="left"/>
      </w:pPr>
      <w:r>
        <w:t/>
      </w:r>
      <w:r>
        <w:rPr>
          <w:rFonts w:ascii="Times New Roman" w:hAnsi="Times New Roman" w:eastAsia="Times New Roman" w:cs="Times New Roman"/>
          <w:b w:val="true"/>
          <w:sz w:val="26"/>
        </w:rPr>
        <w:t xml:space="preserve">Problema 4. Participación laboral femenina en la ENIGH, 1992-2024</w:t>
      </w:r>
    </w:p>
    <w:p>
      <w:pPr>
        <w:spacing w:after="11520"/>
        <w:jc w:val="left"/>
      </w:pPr>
      <w:r>
        <w:t/>
      </w:r>
      <w:r>
        <w:rPr>
          <w:rFonts w:ascii="Times New Roman" w:hAnsi="Times New Roman" w:eastAsia="Times New Roman" w:cs="Times New Roman"/>
          <w:sz w:val="20"/>
        </w:rPr>
        <w:t xml:space="preserve">Mujeres de 20 a 65 años de edad, ponderadas con el factor de expansión de la encuesta. Cada celda de los cuadros 11 a 13 es el porcentaje de mujeres que trabaja dentro del grupo correspondiente, no la proporción de mujeres que pertenece a ese grupo. Los casos sin dato de la variable de clasificación se excluyen del cálculo de esa columna.</w:t>
      </w:r>
    </w:p>
    <w:p>
      <w:pPr>
        <w:spacing w:before="14400" w:after="4320" w:lineRule="auto"/>
        <w:jc w:val="left"/>
      </w:pPr>
      <w:r>
        <w:t/>
      </w:r>
      <w:r>
        <w:rPr>
          <w:rFonts w:ascii="Times New Roman" w:hAnsi="Times New Roman" w:eastAsia="Times New Roman" w:cs="Times New Roman"/>
          <w:b w:val="true"/>
          <w:sz w:val="18"/>
        </w:rPr>
        <w:t xml:space="preserve">Cuadro 10</w:t>
      </w:r>
      <w:r>
        <w:rPr>
          <w:rFonts w:ascii="Times New Roman" w:hAnsi="Times New Roman" w:eastAsia="Times New Roman" w:cs="Times New Roman"/>
          <w:sz w:val="18"/>
        </w:rPr>
        <w:t xml:space="preserve">  </w:t>
      </w:r>
      <w:r>
        <w:rPr>
          <w:rFonts w:ascii="Times New Roman" w:hAnsi="Times New Roman" w:eastAsia="Times New Roman" w:cs="Times New Roman"/>
          <w:sz w:val="18"/>
        </w:rPr>
        <w:t xml:space="preserve">Participación laboral femenina en la ENIGH, 1992-2024</w:t>
      </w:r>
    </w:p>
    <w:tbl>
      <w:tblPr>
        <w:tblStyle w:val="TableGrid"/>
        <w:jc w:val="center"/>
        <w:tblLayout w:type="autofit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Año</w:t>
            </w:r>
          </w:p>
        </w:tc>
        <w:tc>
          <w:tcPr>
            <w:tcW w:w="312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Trabaja (%)</w:t>
            </w:r>
          </w:p>
        </w:tc>
        <w:tc>
          <w:tcPr>
            <w:tcW w:w="312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No trabaja (%)</w:t>
            </w:r>
          </w:p>
        </w:tc>
      </w:tr>
      <w:tr>
        <w:tc>
          <w:tcPr>
            <w:tcW w:w="312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1992</w:t>
            </w:r>
          </w:p>
        </w:tc>
        <w:tc>
          <w:tcPr>
            <w:tcW w:w="312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35.31</w:t>
            </w:r>
          </w:p>
        </w:tc>
        <w:tc>
          <w:tcPr>
            <w:tcW w:w="312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64.69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1994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39.94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60.06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1996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43.40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56.60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1998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45.25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54.75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2000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44.29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55.71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2002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47.78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52.22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2004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45.61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54.39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2005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47.68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52.32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2006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52.32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47.68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2008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47.27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52.73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2010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45.94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54.06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2012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55.54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44.46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2014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52.10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47.90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2016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57.20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42.80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2018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57.59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42.41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2020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54.78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45.22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2022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58.90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41.10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2024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59.22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40.78</w:t>
            </w:r>
          </w:p>
        </w:tc>
      </w:tr>
      <w:tr>
        <w:tc>
          <w:tcPr>
            <w:gridSpan w:val="3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i w:val="true"/>
                <w:sz w:val="16"/>
              </w:rPr>
              <w:t xml:space="preserve">Fuente: elaboración propia con datos de la ENIGH (INEGI), 1992-2024.</w:t>
            </w:r>
          </w:p>
        </w:tc>
      </w:tr>
    </w:tbl>
    <w:p>
      <w:r>
        <w:t/>
      </w:r>
    </w:p>
    <w:p>
      <w:pPr>
        <w:spacing w:before="14400" w:after="4320" w:lineRule="auto"/>
        <w:jc w:val="left"/>
      </w:pPr>
      <w:r>
        <w:t/>
      </w:r>
      <w:r>
        <w:rPr>
          <w:rFonts w:ascii="Times New Roman" w:hAnsi="Times New Roman" w:eastAsia="Times New Roman" w:cs="Times New Roman"/>
          <w:b w:val="true"/>
          <w:sz w:val="16"/>
        </w:rPr>
        <w:t xml:space="preserve">Cuadro 11</w:t>
      </w:r>
      <w:r>
        <w:rPr>
          <w:rFonts w:ascii="Times New Roman" w:hAnsi="Times New Roman" w:eastAsia="Times New Roman" w:cs="Times New Roman"/>
          <w:sz w:val="16"/>
        </w:rPr>
        <w:t xml:space="preserve">  </w:t>
      </w:r>
      <w:r>
        <w:rPr>
          <w:rFonts w:ascii="Times New Roman" w:hAnsi="Times New Roman" w:eastAsia="Times New Roman" w:cs="Times New Roman"/>
          <w:sz w:val="16"/>
        </w:rPr>
        <w:t xml:space="preserve">Participación laboral femenina por nivel educativo en la ENIGH, 1992-2024</w:t>
      </w:r>
    </w:p>
    <w:tbl>
      <w:tblPr>
        <w:tblStyle w:val="TableGrid"/>
        <w:jc w:val="center"/>
        <w:tblLayout w:type="autofit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Año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Sin instrucción (%)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Primaria (%)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Secundaria (%)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Media superior (%)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Superior (%)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Posgrado (%)</w:t>
            </w:r>
          </w:p>
        </w:tc>
      </w:tr>
      <w:tr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1992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25.43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29.28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41.05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51.51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60.13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90.70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1994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34.96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33.57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44.00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51.23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57.61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80.82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1996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39.85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37.96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44.27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52.80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61.99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78.15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1998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39.82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40.81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45.74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51.64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62.68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95.14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2000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34.50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39.00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47.05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52.99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55.99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89.67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2002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38.36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42.35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49.93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55.17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60.63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62.75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2004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28.66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39.10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46.01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52.10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59.17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80.19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36.53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40.11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47.21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55.22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59.72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83.52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45.61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43.83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52.37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58.84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63.31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83.89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2008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31.01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39.30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46.96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53.16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60.46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79.04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2010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30.56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36.77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45.35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53.46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57.27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81.07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2012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49.87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50.97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53.27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58.49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61.81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87.41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2014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39.67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46.65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50.76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53.22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60.19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83.28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2016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46.66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52.93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55.53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57.53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63.62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84.66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2018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50.11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52.26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55.17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58.10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64.36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85.44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2020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45.68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49.92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52.38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55.16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60.47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78.84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2022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47.33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52.61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56.70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60.23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64.62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82.76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2024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47.05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51.18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56.26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60.34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65.98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84.75</w:t>
            </w:r>
          </w:p>
        </w:tc>
      </w:tr>
      <w:tr>
        <w:tc>
          <w:tcPr>
            <w:gridSpan w:val="7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i w:val="true"/>
                <w:sz w:val="16"/>
              </w:rPr>
              <w:t xml:space="preserve">Fuente: elaboración propia con datos de la ENIGH (INEGI), 1992-2024.</w:t>
            </w:r>
          </w:p>
        </w:tc>
      </w:tr>
    </w:tbl>
    <w:p>
      <w:r>
        <w:t/>
      </w:r>
    </w:p>
    <w:p>
      <w:pPr>
        <w:spacing w:before="14400" w:after="4320" w:lineRule="auto"/>
        <w:jc w:val="left"/>
      </w:pPr>
      <w:r>
        <w:t/>
      </w:r>
      <w:r>
        <w:rPr>
          <w:rFonts w:ascii="Times New Roman" w:hAnsi="Times New Roman" w:eastAsia="Times New Roman" w:cs="Times New Roman"/>
          <w:b w:val="true"/>
          <w:sz w:val="16"/>
        </w:rPr>
        <w:t xml:space="preserve">Cuadro 12</w:t>
      </w:r>
      <w:r>
        <w:rPr>
          <w:rFonts w:ascii="Times New Roman" w:hAnsi="Times New Roman" w:eastAsia="Times New Roman" w:cs="Times New Roman"/>
          <w:sz w:val="16"/>
        </w:rPr>
        <w:t xml:space="preserve">  </w:t>
      </w:r>
      <w:r>
        <w:rPr>
          <w:rFonts w:ascii="Times New Roman" w:hAnsi="Times New Roman" w:eastAsia="Times New Roman" w:cs="Times New Roman"/>
          <w:sz w:val="16"/>
        </w:rPr>
        <w:t xml:space="preserve">Participación laboral femenina por estado civil en la ENIGH, 1996-2024</w:t>
      </w:r>
    </w:p>
    <w:tbl>
      <w:tblPr>
        <w:tblStyle w:val="TableGrid"/>
        <w:jc w:val="center"/>
        <w:tblLayout w:type="autofit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Año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Unión libre (%)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Casada (%)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Separada (%)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Divorciada (%)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Viuda (%)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Soltera (%)</w:t>
            </w:r>
          </w:p>
        </w:tc>
      </w:tr>
      <w:tr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1996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38.14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35.12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66.70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72.39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48.40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60.57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1998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41.87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36.56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65.57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72.54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54.20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63.45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2000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36.06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36.47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70.47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74.51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49.05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61.15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2002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43.65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39.55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70.48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73.39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53.74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61.46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2004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37.17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37.66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68.06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73.72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49.87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60.86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40.53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39.31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70.65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77.32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51.51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63.09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45.71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43.52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73.73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76.07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56.63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66.96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2008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38.75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38.96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66.41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73.83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51.39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63.32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2010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39.09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37.38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67.61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71.13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47.02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60.53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2012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51.95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48.36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73.41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80.08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51.72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66.16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2014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44.38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45.36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73.59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70.80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56.71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63.57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2016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51.70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50.07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75.96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77.68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59.04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66.93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2018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53.22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50.38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76.24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76.69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59.91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66.00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2020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51.26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47.62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71.72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70.63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53.49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62.46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2022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54.83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51.15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75.91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74.70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59.20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66.88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2024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55.59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50.59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75.65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75.43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59.09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67.45</w:t>
            </w:r>
          </w:p>
        </w:tc>
      </w:tr>
      <w:tr>
        <w:tc>
          <w:tcPr>
            <w:gridSpan w:val="7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i w:val="true"/>
                <w:sz w:val="16"/>
              </w:rPr>
              <w:t xml:space="preserve">Fuente: elaboración propia con datos de la ENIGH (INEGI), 1992-2024.</w:t>
            </w:r>
          </w:p>
        </w:tc>
      </w:tr>
    </w:tbl>
    <w:p>
      <w:r>
        <w:t/>
      </w:r>
    </w:p>
    <w:p>
      <w:pPr>
        <w:spacing w:before="14400" w:after="4320" w:lineRule="auto"/>
        <w:jc w:val="left"/>
      </w:pPr>
      <w:r>
        <w:t/>
      </w:r>
      <w:r>
        <w:rPr>
          <w:rFonts w:ascii="Times New Roman" w:hAnsi="Times New Roman" w:eastAsia="Times New Roman" w:cs="Times New Roman"/>
          <w:b w:val="true"/>
          <w:sz w:val="18"/>
        </w:rPr>
        <w:t xml:space="preserve">Cuadro 13</w:t>
      </w:r>
      <w:r>
        <w:rPr>
          <w:rFonts w:ascii="Times New Roman" w:hAnsi="Times New Roman" w:eastAsia="Times New Roman" w:cs="Times New Roman"/>
          <w:sz w:val="18"/>
        </w:rPr>
        <w:t xml:space="preserve">  </w:t>
      </w:r>
      <w:r>
        <w:rPr>
          <w:rFonts w:ascii="Times New Roman" w:hAnsi="Times New Roman" w:eastAsia="Times New Roman" w:cs="Times New Roman"/>
          <w:sz w:val="18"/>
        </w:rPr>
        <w:t xml:space="preserve">Participación laboral femenina según presencia de hijos en el hogar, ENIGH 1992-2024</w:t>
      </w:r>
    </w:p>
    <w:tbl>
      <w:tblPr>
        <w:tblStyle w:val="TableGrid"/>
        <w:jc w:val="center"/>
        <w:tblLayout w:type="autofit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Año</w:t>
            </w:r>
          </w:p>
        </w:tc>
        <w:tc>
          <w:tcPr>
            <w:tcW w:w="312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Sin hijos en el hogar (%)</w:t>
            </w:r>
          </w:p>
        </w:tc>
        <w:tc>
          <w:tcPr>
            <w:tcW w:w="312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Con hijos en el hogar (%)</w:t>
            </w:r>
          </w:p>
        </w:tc>
      </w:tr>
      <w:tr>
        <w:tc>
          <w:tcPr>
            <w:tcW w:w="312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1992</w:t>
            </w:r>
          </w:p>
        </w:tc>
        <w:tc>
          <w:tcPr>
            <w:tcW w:w="312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44.60</w:t>
            </w:r>
          </w:p>
        </w:tc>
        <w:tc>
          <w:tcPr>
            <w:tcW w:w="312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34.32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1994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48.58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38.93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1996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51.91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42.50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1998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48.67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44.85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2000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46.26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44.03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2002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50.53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47.41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2004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49.61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45.08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2005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51.89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47.07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2006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56.52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51.71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2008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50.15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46.90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2010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47.33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45.73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2012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59.54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54.87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2014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51.06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52.27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2016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58.76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56.94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2018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60.00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57.15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2020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56.79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54.42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2022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59.92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58.70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2024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60.65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58.92</w:t>
            </w:r>
          </w:p>
        </w:tc>
      </w:tr>
      <w:tr>
        <w:tc>
          <w:tcPr>
            <w:gridSpan w:val="3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i w:val="true"/>
                <w:sz w:val="16"/>
              </w:rPr>
              <w:t xml:space="preserve">Fuente: elaboración propia con datos de la ENIGH (INEGI), 1992-2024.</w:t>
            </w:r>
          </w:p>
        </w:tc>
      </w:tr>
    </w:tbl>
    <w:p>
      <w:r>
        <w:t/>
      </w:r>
    </w:p>
    <w:p>
      <w:pPr>
        <w:spacing w:before="2880" w:after="11520" w:lineRule="auto"/>
        <w:jc w:val="left"/>
      </w:pPr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rPr>
      <w:rFonts w:ascii="Times New Roman" w:hAnsi="Times New Roman" w:eastAsia="Times New Roman" w:cs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