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spacing w:after="2880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26"/>
        </w:rPr>
        <w:t xml:space="preserve">Problema 4. Estadística descriptiva de la ENOE, 2005-2026</w:t>
      </w:r>
    </w:p>
    <w:p>
      <w:pPr>
        <w:spacing w:after="11520"/>
        <w:jc w:val="left"/>
      </w:pPr>
      <w:r>
        <w:t/>
      </w:r>
      <w:r>
        <w:rPr>
          <w:rFonts w:ascii="Times New Roman" w:hAnsi="Times New Roman" w:eastAsia="Times New Roman" w:cs="Times New Roman"/>
          <w:sz w:val="20"/>
        </w:rPr>
        <w:t xml:space="preserve">Población de 20 a 65 años de edad. Cada año es el promedio de sus trimestres, ponderando los porcentajes por la población de cada trimestre. Se excluyen entrevistas incompletas y residentes ausentes definitivos. 2020 promedia tres trimestres porque el INEGI no levantó la ENOE regular en el segundo; 2026 corresponde únicamente al primer trimestre. El rediseño de la ENOEN, vigente de 2020 T3 a 2022 T4, introduce un corte en la comparabilidad de la serie.</w:t>
      </w:r>
    </w:p>
    <w:p>
      <w:pPr>
        <w:spacing w:before="14400" w:after="4320" w:lineRule="auto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18"/>
        </w:rPr>
        <w:t xml:space="preserve">Cuadro 5</w:t>
      </w:r>
      <w:r>
        <w:rPr>
          <w:rFonts w:ascii="Times New Roman" w:hAnsi="Times New Roman" w:eastAsia="Times New Roman" w:cs="Times New Roman"/>
          <w:sz w:val="18"/>
        </w:rPr>
        <w:t xml:space="preserve">  </w:t>
      </w:r>
      <w:r>
        <w:rPr>
          <w:rFonts w:ascii="Times New Roman" w:hAnsi="Times New Roman" w:eastAsia="Times New Roman" w:cs="Times New Roman"/>
          <w:sz w:val="18"/>
        </w:rPr>
        <w:t xml:space="preserve">Indicadores de ocupación en la ENOE, 2005-2026</w:t>
      </w:r>
    </w:p>
    <w:tbl>
      <w:tblPr>
        <w:tblStyle w:val="TableGrid"/>
        <w:jc w:val="center"/>
        <w:tblLayout w:type="autofit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Año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Ocupado (%)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No ocupado (%)</w:t>
            </w:r>
          </w:p>
        </w:tc>
      </w:tr>
      <w:tr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2005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64.87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35.13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65.79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34.21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65.85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34.15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65.64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34.36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2009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64.89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35.11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64.77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35.23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65.06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34.94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65.96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34.04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66.01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33.99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65.55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34.45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65.93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34.07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66.30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33.70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66.40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33.60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66.70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33.30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2019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67.32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32.68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64.33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35.67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65.63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34.37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67.37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32.63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68.58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31.42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68.65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31.35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68.23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31.77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67.84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32.16</w:t>
            </w:r>
          </w:p>
        </w:tc>
      </w:tr>
      <w:tr>
        <w:tc>
          <w:tcPr>
            <w:gridSpan w:val="3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i w:val="true"/>
                <w:sz w:val="16"/>
              </w:rPr>
              <w:t xml:space="preserve">Fuente: elaboración propia con datos de la ENOE (INEGI), 2005-2026.</w:t>
            </w:r>
          </w:p>
        </w:tc>
      </w:tr>
    </w:tbl>
    <w:p>
      <w:r>
        <w:t/>
      </w:r>
    </w:p>
    <w:p>
      <w:pPr>
        <w:spacing w:before="14400" w:after="4320" w:lineRule="auto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16"/>
        </w:rPr>
        <w:t xml:space="preserve">Cuadro 6</w:t>
      </w:r>
      <w:r>
        <w:rPr>
          <w:rFonts w:ascii="Times New Roman" w:hAnsi="Times New Roman" w:eastAsia="Times New Roman" w:cs="Times New Roman"/>
          <w:sz w:val="16"/>
        </w:rPr>
        <w:t xml:space="preserve">  </w:t>
      </w:r>
      <w:r>
        <w:rPr>
          <w:rFonts w:ascii="Times New Roman" w:hAnsi="Times New Roman" w:eastAsia="Times New Roman" w:cs="Times New Roman"/>
          <w:sz w:val="16"/>
        </w:rPr>
        <w:t xml:space="preserve">Indicadores educativos en la ENOE, 2005-2026</w:t>
      </w:r>
    </w:p>
    <w:tbl>
      <w:tblPr>
        <w:tblStyle w:val="TableGrid"/>
        <w:jc w:val="center"/>
        <w:tblLayout w:type="autofit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 w:val="true"/>
        </w:trPr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Año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Sin instrucción (%)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Primaria (%)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Secundaria (%)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Media superior (%)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Normal (%)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Superior (%)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Posgrado (%)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Universitaria (%)</w:t>
            </w:r>
          </w:p>
        </w:tc>
      </w:tr>
      <w:tr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2005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7.49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34.88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22.96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18.52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1.29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13.94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0.93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14.87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2006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6.99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34.10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23.40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18.83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1.25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14.39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1.04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15.43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2007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6.54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33.32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24.00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19.07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1.30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14.79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0.98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15.77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2008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6.32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32.48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24.81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19.28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1.22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14.86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1.03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15.90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2009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5.83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31.03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25.07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20.16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1.25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15.53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1.13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16.66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5.52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29.77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25.62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20.80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1.13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16.04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1.12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17.15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5.18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28.71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26.04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21.25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1.04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16.62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1.17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17.78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4.75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27.82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26.54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21.41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1.10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17.10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1.29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18.39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4.58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26.92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26.84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21.85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0.89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17.57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1.34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18.91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4.42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26.21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27.48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22.20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0.44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17.93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1.31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19.24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4.18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25.43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28.04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22.31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0.40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18.26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1.38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19.64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4.12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24.56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28.07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22.81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0.32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18.70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1.42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20.12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3.94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23.38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28.31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23.14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0.31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19.46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1.47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20.93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3.60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22.16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28.50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23.76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0.32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20.14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1.52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21.66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3.56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21.47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28.55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23.98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0.28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20.58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1.58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22.16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3.29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20.33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28.19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24.54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0.25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21.67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1.72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23.40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2021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3.18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19.57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27.89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24.77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0.23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22.54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1.82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24.36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2022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3.14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19.03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27.47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25.58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0.22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22.74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1.82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24.56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2023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3.10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18.43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27.67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25.69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0.24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22.93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1.95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24.87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2024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3.08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17.71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27.54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25.67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0.18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23.68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2.13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25.81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2025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2.91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16.94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27.46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26.31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0.17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24.17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2.03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26.20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2026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2.78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16.52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27.43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26.72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0.18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24.35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2.02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26.37</w:t>
            </w:r>
          </w:p>
        </w:tc>
      </w:tr>
      <w:tr>
        <w:tc>
          <w:tcPr>
            <w:gridSpan w:val="9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i w:val="true"/>
                <w:sz w:val="16"/>
              </w:rPr>
              <w:t xml:space="preserve">Fuente: elaboración propia con datos de la ENOE (INEGI), 2005-2026.</w:t>
            </w:r>
          </w:p>
        </w:tc>
      </w:tr>
    </w:tbl>
    <w:p>
      <w:r>
        <w:t/>
      </w:r>
    </w:p>
    <w:p>
      <w:pPr>
        <w:spacing w:before="14400" w:after="4320" w:lineRule="auto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18"/>
        </w:rPr>
        <w:t xml:space="preserve">Cuadro 7</w:t>
      </w:r>
      <w:r>
        <w:rPr>
          <w:rFonts w:ascii="Times New Roman" w:hAnsi="Times New Roman" w:eastAsia="Times New Roman" w:cs="Times New Roman"/>
          <w:sz w:val="18"/>
        </w:rPr>
        <w:t xml:space="preserve">  </w:t>
      </w:r>
      <w:r>
        <w:rPr>
          <w:rFonts w:ascii="Times New Roman" w:hAnsi="Times New Roman" w:eastAsia="Times New Roman" w:cs="Times New Roman"/>
          <w:sz w:val="18"/>
        </w:rPr>
        <w:t xml:space="preserve">Comparativo entre zonas rurales y urbanas en la ENOE, 2005-2026</w:t>
      </w:r>
    </w:p>
    <w:tbl>
      <w:tblPr>
        <w:tblStyle w:val="TableGrid"/>
        <w:jc w:val="center"/>
        <w:tblLayout w:type="autofit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Año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Urbano (%)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Rural (%)</w:t>
            </w:r>
          </w:p>
        </w:tc>
      </w:tr>
      <w:tr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2005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78.98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21.02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79.12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20.88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79.45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20.55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79.71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20.29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2009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79.86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20.14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79.92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20.08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79.84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20.16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79.79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20.21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79.63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20.37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79.61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20.39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79.43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20.57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79.33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20.67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79.38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20.62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79.29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20.71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2019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79.31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20.69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79.19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20.81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79.20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20.80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79.25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20.75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79.24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20.76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79.58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20.42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80.55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19.45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80.64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19.36</w:t>
            </w:r>
          </w:p>
        </w:tc>
      </w:tr>
      <w:tr>
        <w:tc>
          <w:tcPr>
            <w:gridSpan w:val="3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i w:val="true"/>
                <w:sz w:val="16"/>
              </w:rPr>
              <w:t xml:space="preserve">Fuente: elaboración propia con datos de la ENOE (INEGI), 2005-2026.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