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2880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6"/>
        </w:rPr>
        <w:t xml:space="preserve">Problema 4. Estadística descriptiva del IMSS, 2000-2026</w:t>
      </w:r>
    </w:p>
    <w:p>
      <w:pPr>
        <w:spacing w:after="11520"/>
        <w:jc w:val="left"/>
      </w:pPr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8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Distribución de individuos asegurados en el IMSS, 2000-2026</w:t>
      </w:r>
    </w:p>
    <w:tbl>
      <w:tblPr>
        <w:tblStyle w:val="TableGrid"/>
        <w:jc w:val="center"/>
        <w:tblLayout w:type="autofit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Asegurados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Permanentes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Eventuales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2000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11,445,308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10,289,354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1,155,954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11,569,211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10,473,792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1,095,418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11,580,414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10,484,945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1,095,469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11,641,264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10,535,373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1,105,891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11,926,176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10,750,242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1,175,934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12,338,542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11,066,903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1,271,640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12,913,904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11,495,458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1,418,447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13,475,667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11,961,612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1,514,056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13,784,331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12,218,228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1,566,103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13,459,324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11,885,116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1,574,207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13,994,108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12,212,583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1,781,525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14,606,445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12,658,084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1,948,360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15,296,286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13,180,470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2,115,816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15,861,608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13,666,787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2,194,821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16,438,458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14,112,092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2,326,366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17,165,670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14,700,292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2,465,379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17,695,519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15,189,859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2,505,660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2017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18,442,926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15,822,120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2,620,805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19,198,686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16,442,640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2,756,046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19,641,496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16,849,156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2,792,340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19,240,856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16,576,080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2,664,776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19,624,078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16,964,021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2,660,058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20,523,156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17,794,716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2,728,440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21,251,983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18,334,500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2,917,484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21,669,699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18,727,399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2,942,300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21,793,895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18,941,286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2,852,609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2026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21,985,528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19,086,820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2,898,708</w:t>
            </w:r>
          </w:p>
        </w:tc>
      </w:tr>
      <w:tr>
        <w:tc>
          <w:tcPr>
            <w:gridSpan w:val="4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el IMSS (asegurados), 2000-2026.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9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Comparativo entre zonas rurales y urbanas en el IMSS, 2000-2026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Urbano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Campo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2000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97.59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2.41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97.73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2.27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97.93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2.07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98.01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1.99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97.99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2.01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97.91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2.09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97.89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2.11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97.92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2.08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97.88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2.12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97.87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2.13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97.84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2.16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97.83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2.17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97.81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2.19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97.80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2.20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97.76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2.24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97.69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2.31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97.60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2.40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97.54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2.46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97.50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2.50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97.34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2.66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2.76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2.82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97.29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2.71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97.43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2.57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97.57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2.43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97.56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 2.44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el IMSS (asegurados), 2000-2026.</w:t>
            </w:r>
          </w:p>
        </w:tc>
      </w:tr>
    </w:tbl>
    <w:p>
      <w:r>
        <w:t/>
      </w:r>
    </w:p>
    <w:p>
      <w:pPr>
        <w:spacing w:before="2880" w:after="11520" w:lineRule="auto"/>
        <w:jc w:val="left"/>
      </w:pPr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