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10.png"/>
  <Override ContentType="image/png" PartName="/word/media/document_image_rId3.png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1. </w:t>
      </w:r>
      <w:r>
        <w:rPr>
          <w:rFonts w:ascii="Times New Roman" w:hAnsi="Times New Roman" w:eastAsia="Times New Roman" w:cs="Times New Roman"/>
          <w:sz w:val="20"/>
        </w:rPr>
        <w:t xml:space="preserve">Población con educación universitaria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Porcentaje de la población de 20 a 65 años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 y la ENOE (INEGI).</w:t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2. </w:t>
      </w:r>
      <w:r>
        <w:rPr>
          <w:rFonts w:ascii="Times New Roman" w:hAnsi="Times New Roman" w:eastAsia="Times New Roman" w:cs="Times New Roman"/>
          <w:sz w:val="20"/>
        </w:rPr>
        <w:t xml:space="preserve">Población ocupada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Porcentaje de la población de 20 a 65 años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 y la ENOE (INEGI).</w:t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3. </w:t>
      </w:r>
      <w:r>
        <w:rPr>
          <w:rFonts w:ascii="Times New Roman" w:hAnsi="Times New Roman" w:eastAsia="Times New Roman" w:cs="Times New Roman"/>
          <w:sz w:val="20"/>
        </w:rPr>
        <w:t xml:space="preserve">Población en el ámbito rural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Porcentaje de la población de 20 a 65 años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4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ENIGH, la ENOE (INEGI) y el IMSS. Rural es localidad de menos de 2,500 habitantes en ENIGH y ENOE; en el IMSS el campo es un sector de actividad y sólo cubre empleo formal, por eso va en eje aparte.</w:t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4. </w:t>
      </w:r>
      <w:r>
        <w:rPr>
          <w:rFonts w:ascii="Times New Roman" w:hAnsi="Times New Roman" w:eastAsia="Times New Roman" w:cs="Times New Roman"/>
          <w:sz w:val="20"/>
        </w:rPr>
        <w:t xml:space="preserve">Tamaño de la población de referencia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Millones de personas de 20 a 65 años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6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ENIGH, la ENOE (INEGI) y el IMSS. El IMSS contabiliza puestos de trabajo asegurados de 20 a 64 años, no población total.</w:t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5. </w:t>
      </w:r>
      <w:r>
        <w:rPr>
          <w:rFonts w:ascii="Times New Roman" w:hAnsi="Times New Roman" w:eastAsia="Times New Roman" w:cs="Times New Roman"/>
          <w:sz w:val="20"/>
        </w:rPr>
        <w:t xml:space="preserve">Participación laboral femenina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Porcentaje de mujeres de 20 a 65 años que trabaja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8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 (INEGI), 1992-2024.</w:t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6. </w:t>
      </w:r>
      <w:r>
        <w:rPr>
          <w:rFonts w:ascii="Times New Roman" w:hAnsi="Times New Roman" w:eastAsia="Times New Roman" w:cs="Times New Roman"/>
          <w:sz w:val="20"/>
        </w:rPr>
        <w:t xml:space="preserve">Participación laboral femenina por nivel educativo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Porcentaje que trabaja dentro de cada nivel educativo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1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 (INEGI), 1992-2024.</w:t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7. </w:t>
      </w:r>
      <w:r>
        <w:rPr>
          <w:rFonts w:ascii="Times New Roman" w:hAnsi="Times New Roman" w:eastAsia="Times New Roman" w:cs="Times New Roman"/>
          <w:sz w:val="20"/>
        </w:rPr>
        <w:t xml:space="preserve">Participación laboral femenina por estado civil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Porcentaje que trabaja dentro de cada categoría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1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 (INEGI), 1996-2024. El estado civil no se levanta en 1992 ni 1994.</w:t>
      </w:r>
    </w:p>
    <w:p>
      <w:pPr>
        <w:spacing w:before="17280" w:after="144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0"/>
        </w:rPr>
        <w:t xml:space="preserve">Figura 8. </w:t>
      </w:r>
      <w:r>
        <w:rPr>
          <w:rFonts w:ascii="Times New Roman" w:hAnsi="Times New Roman" w:eastAsia="Times New Roman" w:cs="Times New Roman"/>
          <w:sz w:val="20"/>
        </w:rPr>
        <w:t xml:space="preserve">Participación laboral femenina y presencia de hijos</w:t>
      </w:r>
    </w:p>
    <w:p>
      <w:pPr>
        <w:spacing w:before="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sz w:val="18"/>
        </w:rPr>
        <w:t xml:space="preserve">Porcentaje que trabaja dentro de cada grupo</w:t>
      </w:r>
    </w:p>
    <w:p>
      <w:pPr>
        <w:spacing w:after="2880"/>
        <w:jc w:val="center"/>
      </w:pPr>
      <w:r>
        <w:t/>
      </w:r>
      <w:r>
        <w:drawing>
          <wp:inline distT="0" distB="0" distL="0" distR="0">
            <wp:extent cx="5486400" cy="3989070"/>
            <wp:effectExtent l="0" t="0" r="0" b="0"/>
            <wp:docPr id="14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4400" w:lineRule="auto"/>
        <w:jc w:val="left"/>
      </w:pPr>
      <w:r>
        <w:t/>
      </w:r>
      <w:r>
        <w:rPr>
          <w:rFonts w:ascii="Times New Roman" w:hAnsi="Times New Roman" w:eastAsia="Times New Roman" w:cs="Times New Roman"/>
          <w:i w:val="true"/>
          <w:sz w:val="16"/>
        </w:rPr>
        <w:t xml:space="preserve">Fuente: </w:t>
      </w:r>
      <w:r>
        <w:rPr>
          <w:rFonts w:ascii="Times New Roman" w:hAnsi="Times New Roman" w:eastAsia="Times New Roman" w:cs="Times New Roman"/>
          <w:sz w:val="16"/>
        </w:rPr>
        <w:t xml:space="preserve">Elaboración propia con datos de la ENIGH (INEGI), 1992-2024. La presencia de hijos se aproxima por la existencia de al menos un integrante registrado como hijo o hija del jefe del hogar.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media/document_image_rId3.png" Type="http://schemas.openxmlformats.org/officeDocument/2006/relationships/image" Id="rId3"/>
    <Relationship Target="media/document_image_rId4.png" Type="http://schemas.openxmlformats.org/officeDocument/2006/relationships/image" Id="rId4"/>
    <Relationship Target="media/document_image_rId5.png" Type="http://schemas.openxmlformats.org/officeDocument/2006/relationships/image" Id="rId5"/>
    <Relationship Target="media/document_image_rId6.png" Type="http://schemas.openxmlformats.org/officeDocument/2006/relationships/image" Id="rId6"/>
    <Relationship Target="media/document_image_rId7.png" Type="http://schemas.openxmlformats.org/officeDocument/2006/relationships/image" Id="rId7"/>
    <Relationship Target="media/document_image_rId8.png" Type="http://schemas.openxmlformats.org/officeDocument/2006/relationships/image" Id="rId8"/>
    <Relationship Target="media/document_image_rId9.png" Type="http://schemas.openxmlformats.org/officeDocument/2006/relationships/image" Id="rId9"/>
    <Relationship Target="media/document_image_rId10.png" Type="http://schemas.openxmlformats.org/officeDocument/2006/relationships/image" Id="rId10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