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2880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6"/>
        </w:rPr>
        <w:t xml:space="preserve">Problema 6. Pobreza por ingresos y multidimensional, 2016-2024</w:t>
      </w:r>
    </w:p>
    <w:p>
      <w:pPr>
        <w:spacing w:after="11520"/>
        <w:jc w:val="left"/>
      </w:pPr>
      <w:r>
        <w:t/>
      </w:r>
      <w:r>
        <w:rPr>
          <w:rFonts w:ascii="Times New Roman" w:hAnsi="Times New Roman" w:eastAsia="Times New Roman" w:cs="Times New Roman"/>
          <w:sz w:val="20"/>
        </w:rPr>
        <w:t xml:space="preserve">Población total, ponderada con el factor de expansión de la encuesta. Se excluye a las personas sin condición de pobreza calculada. Los años 2016 a 2022 provienen de la base oficial de CONEVAL; 2024 es una adaptación propia del programa oficial a los microdatos de ese año, que arroja una pobreza 0.8 puntos porcentuales por debajo de la cifra publicada por el INEGI y una pobreza extrema 0.4 puntos por debajo.</w:t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6"/>
        </w:rPr>
        <w:t xml:space="preserve">Cuadro 14</w:t>
      </w:r>
      <w:r>
        <w:rPr>
          <w:rFonts w:ascii="Times New Roman" w:hAnsi="Times New Roman" w:eastAsia="Times New Roman" w:cs="Times New Roman"/>
          <w:sz w:val="16"/>
        </w:rPr>
        <w:t xml:space="preserve">  </w:t>
      </w:r>
      <w:r>
        <w:rPr>
          <w:rFonts w:ascii="Times New Roman" w:hAnsi="Times New Roman" w:eastAsia="Times New Roman" w:cs="Times New Roman"/>
          <w:sz w:val="16"/>
        </w:rPr>
        <w:t xml:space="preserve">Evolución nacional de la pobreza, 2016-2024</w:t>
      </w:r>
    </w:p>
    <w:tbl>
      <w:tblPr>
        <w:tblStyle w:val="TableGrid"/>
        <w:jc w:val="center"/>
        <w:tblLayout w:type="autofit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Año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Pobreza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Pobreza moderada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Pobreza extrema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Vulnerable por carencias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Vulnerable por ingresos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No pobre ni vulnerable (%)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2016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43.23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35.99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7.24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25.25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7.55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23.96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34.88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26.44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7.98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23.68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43.91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35.40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8.52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23.70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8.86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23.52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36.31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29.41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27.06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23.86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32.48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5.83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32.91</w:t>
            </w:r>
          </w:p>
        </w:tc>
      </w:tr>
      <w:tr>
        <w:tc>
          <w:tcPr>
            <w:gridSpan w:val="7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 y la metodología de medición de pobreza de CONEVAL.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4"/>
        </w:rPr>
        <w:t xml:space="preserve">Cuadro 15</w:t>
      </w:r>
      <w:r>
        <w:rPr>
          <w:rFonts w:ascii="Times New Roman" w:hAnsi="Times New Roman" w:eastAsia="Times New Roman" w:cs="Times New Roman"/>
          <w:sz w:val="14"/>
        </w:rPr>
        <w:t xml:space="preserve">  </w:t>
      </w:r>
      <w:r>
        <w:rPr>
          <w:rFonts w:ascii="Times New Roman" w:hAnsi="Times New Roman" w:eastAsia="Times New Roman" w:cs="Times New Roman"/>
          <w:sz w:val="14"/>
        </w:rPr>
        <w:t xml:space="preserve">Carencias sociales, 2016-2024</w:t>
      </w:r>
    </w:p>
    <w:tbl>
      <w:tblPr>
        <w:tblStyle w:val="TableGrid"/>
        <w:jc w:val="center"/>
        <w:tblLayout w:type="autofit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 w:val="true"/>
        </w:trPr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4"/>
              </w:rPr>
              <w:t xml:space="preserve">Año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4"/>
              </w:rPr>
              <w:t xml:space="preserve">Rezago educativo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4"/>
              </w:rPr>
              <w:t xml:space="preserve">Acceso a salud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4"/>
              </w:rPr>
              <w:t xml:space="preserve">Seguridad social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4"/>
              </w:rPr>
              <w:t xml:space="preserve">Calidad de la vivienda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4"/>
              </w:rPr>
              <w:t xml:space="preserve">Servicios básicos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4"/>
              </w:rPr>
              <w:t xml:space="preserve">Alimentación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4"/>
              </w:rPr>
              <w:t xml:space="preserve">Al menos una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4"/>
              </w:rPr>
              <w:t xml:space="preserve">Al menos tres (%)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2016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18.46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15.55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54.11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11.98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19.16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21.91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68.49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19.99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19.00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16.19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53.46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11.00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19.60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22.23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68.34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20.16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19.25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28.15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52.05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 9.32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17.93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22.54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67.61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23.01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19.44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39.09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50.18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 9.05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17.80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18.19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65.73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24.87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2024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18.00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33.40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47.12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 7.19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14.71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13.88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61.25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4"/>
              </w:rPr>
              <w:t>    20.11</w:t>
            </w:r>
          </w:p>
        </w:tc>
      </w:tr>
      <w:tr>
        <w:tc>
          <w:tcPr>
            <w:gridSpan w:val="9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 y la metodología de medición de pobreza de CONEVAL.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6"/>
        </w:rPr>
        <w:t xml:space="preserve">Cuadro 16</w:t>
      </w:r>
      <w:r>
        <w:rPr>
          <w:rFonts w:ascii="Times New Roman" w:hAnsi="Times New Roman" w:eastAsia="Times New Roman" w:cs="Times New Roman"/>
          <w:sz w:val="16"/>
        </w:rPr>
        <w:t xml:space="preserve">  </w:t>
      </w:r>
      <w:r>
        <w:rPr>
          <w:rFonts w:ascii="Times New Roman" w:hAnsi="Times New Roman" w:eastAsia="Times New Roman" w:cs="Times New Roman"/>
          <w:sz w:val="16"/>
        </w:rPr>
        <w:t xml:space="preserve">Pobreza por entidad federativa y cambio entre 2016 y 2024</w:t>
      </w:r>
    </w:p>
    <w:tbl>
      <w:tblPr>
        <w:tblStyle w:val="TableGrid"/>
        <w:jc w:val="center"/>
        <w:tblLayout w:type="autofit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Entidad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2016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2018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2020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2022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2024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Cambio (pp)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Hidalgo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56.90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49.87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50.75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41.00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34.37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-22.53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Michoacán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54.16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46.21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44.51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41.74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33.64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-20.52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Tabasco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53.84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56.35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54.48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46.47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33.91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-19.93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Yucatán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45.50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44.03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49.49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38.77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26.54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-18.97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Colima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32.53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30.41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20.55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14.92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-17.62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Oaxaca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67.98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64.34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61.66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58.44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50.84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-17.14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Veracruz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60.49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58.60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51.73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43.72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-16.77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Chihuahua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30.70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26.64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25.30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17.57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-16.48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México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46.65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48.86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42.88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31.31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-15.34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Nayarit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38.10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35.72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30.41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29.31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-15.33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Tlaxcala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55.93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59.29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52.52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40.77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-15.16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San Luis Potosí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44.14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42.07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42.85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35.52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-14.99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Coahuila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25.51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25.62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12.20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-14.86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Puebla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58.13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58.01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62.43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54.02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43.44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-14.69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Zacatecas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49.23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44.22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35.92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-14.28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Sinaloa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30.46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30.98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21.64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16.50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-13.96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Baja California Sur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22.88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18.57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27.60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13.33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9.01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-13.87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Querétaro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31.33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-13.72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Quintana Roo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31.65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47.48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-13.59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Guanajuato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41.49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42.74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33.03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25.85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-13.50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Chiapas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77.91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78.00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75.49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67.37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64.79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-13.12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Baja California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22.60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23.60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22.51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13.37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9.66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-12.94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Sonora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29.92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14.27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-12.73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Tamaulipas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32.04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34.55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34.94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26.82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19.44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-12.61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Jalisco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30.47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27.80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31.42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21.84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18.38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-12.09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Morelos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46.69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48.54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50.95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34.73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-11.96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Aguascalientes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28.95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26.27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27.63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-11.87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Guerrero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66.83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67.89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66.41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56.06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-10.77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Campeche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48.96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50.55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35.70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-9.96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Durango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37.19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38.79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38.69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34.31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27.60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-9.59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Nuevo León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18.84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19.38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24.33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10.23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-8.61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Ciudad de México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26.60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32.60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19.61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-6.99</w:t>
            </w:r>
          </w:p>
        </w:tc>
      </w:tr>
      <w:tr>
        <w:tc>
          <w:tcPr>
            <w:gridSpan w:val="7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 y la metodología de medición de pobreza de CONEVAL.</w:t>
            </w:r>
          </w:p>
        </w:tc>
      </w:tr>
    </w:tbl>
    <w:p>
      <w:r>
        <w:t/>
      </w:r>
    </w:p>
    <w:p>
      <w:pPr>
        <w:spacing w:before="2880" w:after="1152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Ordenado de la mayor a la menor reducción. Las 32 entidades redujeron su incidencia de pobreza entre 2016 y 2024; ninguna la aumentó.</w:t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6"/>
        </w:rPr>
        <w:t xml:space="preserve">Cuadro 17</w:t>
      </w:r>
      <w:r>
        <w:rPr>
          <w:rFonts w:ascii="Times New Roman" w:hAnsi="Times New Roman" w:eastAsia="Times New Roman" w:cs="Times New Roman"/>
          <w:sz w:val="16"/>
        </w:rPr>
        <w:t xml:space="preserve">  </w:t>
      </w:r>
      <w:r>
        <w:rPr>
          <w:rFonts w:ascii="Times New Roman" w:hAnsi="Times New Roman" w:eastAsia="Times New Roman" w:cs="Times New Roman"/>
          <w:sz w:val="16"/>
        </w:rPr>
        <w:t xml:space="preserve">Pobreza según presencia de adultos mayores en el hogar, 2016-2024</w:t>
      </w:r>
    </w:p>
    <w:tbl>
      <w:tblPr>
        <w:tblStyle w:val="TableGrid"/>
        <w:jc w:val="center"/>
        <w:tblLayout w:type="autofit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Año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Pobreza sin 65+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Pobreza con 65+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Extrema sin 65+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Extrema con 65+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Tres carencias sin 65+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Tres carencias con 65+ (%)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2016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42.78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45.10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7.00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8.21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19.56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21.77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8.18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19.50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22.68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44.13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43.16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8.72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7.83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22.95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36.37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36.12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7.33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23.64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27.68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5.07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4.42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19.30</w:t>
            </w:r>
          </w:p>
        </w:tc>
      </w:tr>
      <w:tr>
        <w:tc>
          <w:tcPr>
            <w:gridSpan w:val="7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 y la metodología de medición de pobreza de CONEVAL.</w:t>
            </w:r>
          </w:p>
        </w:tc>
      </w:tr>
    </w:tbl>
    <w:p>
      <w:r>
        <w:t/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9. </w:t>
      </w:r>
      <w:r>
        <w:rPr>
          <w:rFonts w:ascii="Times New Roman" w:hAnsi="Times New Roman" w:eastAsia="Times New Roman" w:cs="Times New Roman"/>
          <w:sz w:val="20"/>
        </w:rPr>
        <w:t xml:space="preserve">Evolución nacional de la pobreza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de la población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(INEGI) y la metodología de CONEVAL.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10. </w:t>
      </w:r>
      <w:r>
        <w:rPr>
          <w:rFonts w:ascii="Times New Roman" w:hAnsi="Times New Roman" w:eastAsia="Times New Roman" w:cs="Times New Roman"/>
          <w:sz w:val="20"/>
        </w:rPr>
        <w:t xml:space="preserve">Carencias sociales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de la población con cada carencia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(INEGI) y la metodología de CONEVAL. El salto en la carencia por acceso a servicios de salud a partir de 2020 coincide con la sustitución del Seguro Popular.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11. </w:t>
      </w:r>
      <w:r>
        <w:rPr>
          <w:rFonts w:ascii="Times New Roman" w:hAnsi="Times New Roman" w:eastAsia="Times New Roman" w:cs="Times New Roman"/>
          <w:sz w:val="20"/>
        </w:rPr>
        <w:t xml:space="preserve">Cambio en la incidencia de pobreza por entidad federativa, 2016-2024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Puntos porcentuales de cambio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7315200"/>
            <wp:effectExtent l="0" t="0" r="0" b="0"/>
            <wp:docPr id="4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(INEGI) y la metodología de CONEVAL. Las 32 entidades redujeron su incidencia de pobreza en el periodo.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12. </w:t>
      </w:r>
      <w:r>
        <w:rPr>
          <w:rFonts w:ascii="Times New Roman" w:hAnsi="Times New Roman" w:eastAsia="Times New Roman" w:cs="Times New Roman"/>
          <w:sz w:val="20"/>
        </w:rPr>
        <w:t xml:space="preserve">Pobreza según presencia de adultos mayores en el hogar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de la población en situación de pobreza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6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(INEGI) y la metodología de CONEVAL.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media/document_image_rId3.png" Type="http://schemas.openxmlformats.org/officeDocument/2006/relationships/image" Id="rId3"/>
    <Relationship Target="media/document_image_rId4.png" Type="http://schemas.openxmlformats.org/officeDocument/2006/relationships/image" Id="rId4"/>
    <Relationship Target="media/document_image_rId5.png" Type="http://schemas.openxmlformats.org/officeDocument/2006/relationships/image" Id="rId5"/>
    <Relationship Target="media/document_image_rId6.png" Type="http://schemas.openxmlformats.org/officeDocument/2006/relationships/image" Id="rId6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