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10. ENOE: porcentaje de trabajadores (con salario válido) por grupo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80.3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75.9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27.8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73.3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73.3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69.7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69.2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66.5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población de 25 a 65 años. Trabajador: salario positivo y declarado.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2005-2026; todos los trimestres, sin ETOE.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