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xvml="urn:schemas-microsoft-com:office:excel" xmlns:o="urn:schemas-microsoft-com:office:office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Cuadro 11. ENIGH: ingreso corriente per cápita del hogar y pobreza por ingresos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Media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Mediana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Pobreza por ingresos (%)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Pobreza extrema por ingresos (%)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Año</w:t>
            </w: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1992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5,769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3,342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64.3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23.6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1994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6,092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3,520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61.3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20.1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1996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4,383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2,629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73.8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32.3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1998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4,874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2,925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69.3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2000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5,736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3,453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21.5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2002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5,680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3,564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60.6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2004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6,012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3,763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57.4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15.1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2005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6,160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3,878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16.6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2006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6,703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4,208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50.9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2008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6,504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4,066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53.6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17.0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2010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5,905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3,841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17.1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2012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6,188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3,890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18.6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2014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5,896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3,676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19.5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2016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6,803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4,286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50.3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2018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6,596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4,427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49.6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2020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6,296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4,309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51.1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15.3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2022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7,176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5,018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2024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8,170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5,840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8.7</w:t>
            </w:r>
          </w:p>
        </w:tc>
      </w:tr>
      <w:tr>
        <w:tc>
          <w:tcPr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Ingreso mensual por persona en pesos de enero de 2026; media y mediana ponderadas por personas.</w:t>
              <w:br w:type="textWrapping"/>
            </w:r>
            <w:r>
              <w:t xml:space="preserve">Pobreza por ingresos: ingreso per cápita menor a la línea de pobreza por ingresos de CONEVAL (urbana o rural).</w:t>
              <w:br w:type="textWrapping"/>
            </w:r>
            <w:r>
              <w:t xml:space="preserve">Fuente: elaboración propia con datos de la ENIGH (INEGI) 1992-2024 y CONEVAL.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xvml="urn:schemas-microsoft-com:office:excel" xmlns:o="urn:schemas-microsoft-com:office:office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xvml="urn:schemas-microsoft-com:office:excel" xmlns:o="urn:schemas-microsoft-com:office:office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