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gridSpan w:val="10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1. ENIGH 1992-2024: características de la población de 25 a 65 años</w:t>
            </w: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936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Observaciones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Edad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Mujer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Escolaridad (años)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Prepa o más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Horas/semana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Rural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Ingreso mes pasado*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Ingreso trimestral*</w:t>
            </w: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1992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18,533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39.82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5.98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28.57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0.23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14,655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41,750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1994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22,718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40.31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6.18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29.64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14,834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43,000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1996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25,119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39.80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6.60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30.61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10,195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29,450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1998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19,318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40.37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7.75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30.64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11,060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31,956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17,863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40.61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30.86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12,382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36,604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30,652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41.01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7.41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31.30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11,896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34,822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40,527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40.92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7.96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32.25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12,048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34,880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41,290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41.32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8.11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32.37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12,102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35,177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36,239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40.95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8.32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33.50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12,501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36,638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53,317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41.58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8.32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31.60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12,984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38,448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49,282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41.82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8.69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31.83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11,436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33,443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15,336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8.85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33.30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11,280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32,225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34,329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9.15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32.63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11,356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32,314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121,907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42.26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9.42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34.42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12,242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35,311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129,410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42.57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9.66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34.69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11,584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33,268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155,448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43.00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9.93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32.31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10,998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30,265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154,793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43.28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10.11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34.67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11,695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34,041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2024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155,241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43.43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10.42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34.21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12,838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37,574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medias ponderadas con el factor de expansión; Observaciones: personas en la muestra (sin ponderar). Mujer, Prepa o más y Rural son proporciones; Rural: localidades de menos de 2,500 habitantes. *Ingresos laborales en pesos de enero de 2026 (INPC de agosto de cada año); promedio entre quienes reportan ingreso positivo.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ENIGH (INEGI), 1992-2024.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