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gridSpan w:val="9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2. ENOE 2005-2026: características de la población de 25 a 65 años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Observaciones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Edad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Mujer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Escolaridad (años)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Prepa o más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Horas/semana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Rural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Ingreso mensual*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737,849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41.29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8.06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0.27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28.04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11,213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751,950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28.35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11,464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749,555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11,513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745,383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41.57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11,163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738,448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41.72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8.63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27.67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10,439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743,764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41.75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8.76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27.76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10,125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741,048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41.84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8.91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9,962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742,735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42.05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9.05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9,840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742,962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42.11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28.41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9,735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765,550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9,285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767,388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9,406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759,571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28.77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9,528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761,500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9.57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28.83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9,376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765,475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42.64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9.75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29.01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9,373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797,359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42.85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9.82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29.05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9,479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535,895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42.97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10.02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26.91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9,696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803,334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10.15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27.88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9,831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812,431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29.03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9,798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880,101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29.30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10,275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865,766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43.51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29.09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10,852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861,625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10.51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28.79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11,198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429,320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43.64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10.59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11,615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medias ponderadas con el factor de expansión trimestral; Observaciones: personas en la muestra (sin ponderar). Todos los trimestres de cada año (2020-II no disponible; 2026 incluye I y II). Mujer, Prepa o más y Rural son proporciones. *Ingreso laboral mensual en pesos de enero de 2026 (INPC promedio del trimestre); promedio entre quienes reportan ingreso positivo.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ENOE (INEGI), 2005-2026.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