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7. ENOE: salario por hora promedio con aweight y fweight (pesos de enero de 2026)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aweight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fweight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Media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Error estándar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Media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Error estándar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64.79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0.1402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407,547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64.79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97,055,648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0.1427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413,326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100,166,307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68.06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0.1514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408,062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68.06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100,677,140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0.1412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395,559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101,196,823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62.40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0.1323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375,505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62.40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100,244,846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379,839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102,100,045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370,089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101,950,312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373,345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105,024,498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58.21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0.1336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367,536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58.21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104,184,027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374,812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104,466,076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376,020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105,725,967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0.1130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368,799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107,152,217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361,100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105,090,145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358,519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106,365,910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56.78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383,217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56.78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111,574,604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0.1639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247,167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82,768,666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0.1364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372,919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112,984,872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380,548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116,429,815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409,956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117,245,796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66.67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399,835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66.67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116,266,396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69.68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0.1476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365,792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69.68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0.0086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106,728,822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0.1982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193,161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61,190,684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fweight usa el factor de expansión redondeado a entero. N: observaciones de la muestra (aweight) o población representada (fweight).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2005-2026; todos los trimestres, sin ETOE.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