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2.1. Entidades federativas: brecha salarial de género en 2026 y cambio porcentual del empleo formal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Brecha de género 2026 (%)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Feb. 2020-jul. 2020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Feb. 2020-jul. 2026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Jul. 2012-jul. 2026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Aguascalientes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15.2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-5.0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7.3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Baja California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66.4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Baja California Sur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-10.9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22.4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84.3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Campeche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21.0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-7.6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-9.1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Chiapas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16.9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25.5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Chihuahua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Ciudad de México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-5.5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6.7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33.9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Coahuila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18.2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38.3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Colima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44.2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Durango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29.3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Guanajuato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14.7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-4.7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62.1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Guerrero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11.2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-8.2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Hidalgo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12.2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-7.0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27.3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59.7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Jalisco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Michoacán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-4.2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Morelos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15.3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México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11.4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24.7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56.0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Nayarit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-8.7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66.2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Nuevo León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12.7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19.4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Oaxaca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-7.3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38.2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Puebla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-6.5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40.1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Querétaro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-5.6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17.1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82.2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Quintana Roo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-24.5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85.7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San Luis Potosí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54.8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Sinaloa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-9.9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Sonora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14.0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-6.1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27.8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Tabasco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19.2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15.2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Tamaulipas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21.2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Tlaxcala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55.7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Veracruz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4.5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-7.1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Yucatán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7.7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-6.3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48.9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Zacatecas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13.9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34.2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brecha = (1 - salario promedio de las mujeres / salario promedio de los hombres) x 100, con los meses de enero a julio de 2026. Las tres últimas columnas son el cambio porcentual de los puestos de trabajo afiliados entre los meses indicados.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puestos de trabajo afiliados al IMSS, 2000-2026.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