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14="http://schemas.microsoft.com/office/word/2010/wordml" xmlns:w="http://schemas.openxmlformats.org/wordprocessingml/2006/main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15="http://schemas.microsoft.com/office/word/2012/wordml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gridSpan w:val="8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</w:rPr>
              <w:t xml:space="preserve">Cuadro 4.2. ENIGH 2024: errores estándar e intervalos de confianza al 95% (réplicas con bsample)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Coef.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E.E.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 inf.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 sup.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Percentil-t inf.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Percentil-t sup.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D9D9D9" w:fill="D9D9D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t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Escolaridad</w:t>
            </w: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0.0721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0.0721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117.9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0.0722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0.0720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116.5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0.0014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0.0700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0.0761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0.0719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53.1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0.0013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0.0708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0.0759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0.0720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57.8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0.0721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116.3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 0.25 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0.0723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0.0013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0.0698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0.0747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57.4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Mujer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-0.2332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0.0049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-0.2408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-0.2242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-0.2423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-0.2257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-47.5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-0.2332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0.0049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-0.2427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-0.2434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-0.2239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-47.3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-0.2332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-0.2555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-0.2175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-0.2412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-0.2221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-22.1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Bootstrap 0.25 N (1000 rep.)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-0.2332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0.0101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-0.2525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-0.2126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-0.2236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-23.1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-0.2332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0.0050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-0.2235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-47.0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  Jackknife 0.25 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-0.2417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0.0099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-0.2611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-0.2222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.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rPr>
                <w:rFonts w:ascii="Times New Roman" w:hAnsi="Times New Roman" w:eastAsia="Times New Roman" w:cs="Times New Roman"/>
                <w:sz w:val="18"/>
              </w:rPr>
              <w:t xml:space="preserve">-24.3</w:t>
            </w:r>
          </w:p>
        </w:tc>
      </w:tr>
    </w:tbl>
    <w:p>
      <w:r>
        <w:t/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Nota: MCO del log del salario por hora sobre escolaridad, edad, edad al cuadrado, rural y mujer, sin factor de expansión. En MCO y jackknife el intervalo es el normal (coeficiente ± 1.96 E.E.); en bootstrap, el percentil usa los cuantiles 2.5 y 97.5 de los coeficientes y el percentil-t los de t* = (b* - b) / E.E.*. Con 0.25 N el E.E. corresponde a muestras de tamaño N/4. t = coeficiente / E.E.</w:t>
      </w:r>
    </w:p>
    <w:p>
      <w:r>
        <w:t/>
      </w:r>
      <w:r>
        <w:rPr>
          <w:rFonts w:ascii="Times New Roman" w:hAnsi="Times New Roman" w:eastAsia="Times New Roman" w:cs="Times New Roman"/>
          <w:sz w:val="16"/>
        </w:rPr>
        <w:t xml:space="preserve">Fuente: elaboración propia con datos de la ENIGH 2024 (INEGI).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14="http://schemas.microsoft.com/office/word/2010/wordml" xmlns:w="http://schemas.openxmlformats.org/wordprocessingml/2006/main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15="http://schemas.microsoft.com/office/word/2012/wordml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14="http://schemas.microsoft.com/office/word/2010/wordml" xmlns:w="http://schemas.openxmlformats.org/wordprocessingml/2006/main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15="http://schemas.microsoft.com/office/word/2012/wordml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