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14="http://schemas.microsoft.com/office/word/2010/wordml" xmlns:w="http://schemas.openxmlformats.org/wordprocessingml/2006/main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15="http://schemas.microsoft.com/office/word/2012/wordml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gridSpan w:val="8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4.3. ENOE 2026, trimestre II: errores estándar e intervalos de confianza al 95% (comandos bootstrap y jackknife)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Coef.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E.E.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Percentil inf.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Percentil sup.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Percentil-t inf.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Percentil-t sup.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t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Escolaridad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MCO, EE robusto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0.0574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0.0563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103.3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(100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0.0574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0.0564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0.0562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94.0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(1000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0.0574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0.0005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0.0564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0.0564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108.2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0.25 N (100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0.0574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0.0010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0.0553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0.0595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0.0564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55.4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0.25 N (1000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0.0574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0.0011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0.0553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0.0595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0.0564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52.0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Jackknife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0.0574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0.0563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103.3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Jackknife 0.25 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0.0011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0.0561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0.0605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52.6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Mujer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MCO, EE robusto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-0.1152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0.0042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-0.1235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-0.1070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-27.4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(100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-0.1152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0.0043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-0.1227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-0.1063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-0.1241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-0.1078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-26.7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(1000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-0.1152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0.0042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-0.1237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-0.1069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-0.1235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-0.1067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-27.7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0.25 N (100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-0.1152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0.0080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-0.1301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-0.0981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-0.1237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-0.1079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-14.3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0.25 N (1000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-0.1152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0.0083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-0.1302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-0.0990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-0.1234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-0.1077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-13.9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Jackknife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-0.1152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0.0042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-0.1235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-0.1070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-27.4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Jackknife 0.25 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-0.1090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0.0083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-0.1252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-0.0928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-13.2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MCO del log del salario por hora sobre escolaridad, edad, edad al cuadrado, rural y mujer, sin factor de expansión. En MCO y jackknife el intervalo es el normal (coeficiente ± 1.96 E.E.); en bootstrap, el percentil usa los cuantiles 2.5 y 97.5 de los coeficientes y el percentil-t los de t* = (b* - b) / E.E.*. Con 0.25 N el E.E. corresponde a muestras de tamaño N/4. t = coeficiente / E.E.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la ENOE 2026, trimestre II (INEGI).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14="http://schemas.microsoft.com/office/word/2010/wordml" xmlns:w="http://schemas.openxmlformats.org/wordprocessingml/2006/main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15="http://schemas.microsoft.com/office/word/2012/wordml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14="http://schemas.microsoft.com/office/word/2010/wordml" xmlns:w="http://schemas.openxmlformats.org/wordprocessingml/2006/main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15="http://schemas.microsoft.com/office/word/2012/wordml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