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14="http://schemas.microsoft.com/office/word/2010/wordml" xmlns:w="http://schemas.openxmlformats.org/wordprocessingml/2006/main" xmlns:r="http://schemas.openxmlformats.org/officeDocument/2006/relationships" xmlns:a="http://schemas.openxmlformats.org/drawingml/2006/main" xmlns:a14="http://schemas.microsoft.com/office/drawing/2010/main" xmlns:m="http://schemas.openxmlformats.org/officeDocument/2006/math" xmlns:w15="http://schemas.microsoft.com/office/word/2012/wordml" xmlns:wp="http://schemas.openxmlformats.org/drawingml/2006/wordprocessingDrawing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w:tbl>
      <w:tblPr>
        <w:tblStyle w:val="TableGrid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gridSpan w:val="8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Cuadro 4.4. ENOE 2026, trimestre II: errores estándar e intervalos de confianza al 95% (réplicas con bsample)</w:t>
            </w:r>
          </w:p>
        </w:tc>
      </w:tr>
      <w:tr>
        <w:tc>
          <w:tcPr>
            <w:tcW w:w="1170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shd w:val="solid" w:color="D9D9D9" w:fill="D9D9D9"/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shd w:val="solid" w:color="D9D9D9" w:fill="D9D9D9"/>
            <w:vAlign w:val="bottom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true"/>
                <w:sz w:val="18"/>
              </w:rPr>
              <w:t xml:space="preserve">Coef.</w:t>
            </w:r>
          </w:p>
        </w:tc>
        <w:tc>
          <w:tcPr>
            <w:tcW w:w="1170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shd w:val="solid" w:color="D9D9D9" w:fill="D9D9D9"/>
            <w:vAlign w:val="bottom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true"/>
                <w:sz w:val="18"/>
              </w:rPr>
              <w:t xml:space="preserve">E.E.</w:t>
            </w:r>
          </w:p>
        </w:tc>
        <w:tc>
          <w:tcPr>
            <w:tcW w:w="1170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shd w:val="solid" w:color="D9D9D9" w:fill="D9D9D9"/>
            <w:vAlign w:val="bottom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true"/>
                <w:sz w:val="18"/>
              </w:rPr>
              <w:t xml:space="preserve">Percentil inf.</w:t>
            </w:r>
          </w:p>
        </w:tc>
        <w:tc>
          <w:tcPr>
            <w:tcW w:w="1170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shd w:val="solid" w:color="D9D9D9" w:fill="D9D9D9"/>
            <w:vAlign w:val="bottom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true"/>
                <w:sz w:val="18"/>
              </w:rPr>
              <w:t xml:space="preserve">Percentil sup.</w:t>
            </w:r>
          </w:p>
        </w:tc>
        <w:tc>
          <w:tcPr>
            <w:tcW w:w="1170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shd w:val="solid" w:color="D9D9D9" w:fill="D9D9D9"/>
            <w:vAlign w:val="bottom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true"/>
                <w:sz w:val="18"/>
              </w:rPr>
              <w:t xml:space="preserve">Percentil-t inf.</w:t>
            </w:r>
          </w:p>
        </w:tc>
        <w:tc>
          <w:tcPr>
            <w:tcW w:w="1170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shd w:val="solid" w:color="D9D9D9" w:fill="D9D9D9"/>
            <w:vAlign w:val="bottom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true"/>
                <w:sz w:val="18"/>
              </w:rPr>
              <w:t xml:space="preserve">Percentil-t sup.</w:t>
            </w:r>
          </w:p>
        </w:tc>
        <w:tc>
          <w:tcPr>
            <w:tcW w:w="1170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shd w:val="solid" w:color="D9D9D9" w:fill="D9D9D9"/>
            <w:vAlign w:val="bottom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true"/>
                <w:sz w:val="18"/>
              </w:rPr>
              <w:t xml:space="preserve">t</w:t>
            </w:r>
          </w:p>
        </w:tc>
      </w:tr>
      <w:tr>
        <w:tc>
          <w:tcPr>
            <w:tcW w:w="117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Escolaridad</w:t>
            </w:r>
          </w:p>
        </w:tc>
        <w:tc>
          <w:tcPr>
            <w:tcW w:w="117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  Bootstrap (100 rep.)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0.0574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0.0006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0.0563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0.0584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0.0565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0.0586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103.3</w:t>
            </w:r>
          </w:p>
        </w:tc>
      </w:tr>
      <w:tr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  Bootstrap (1000 rep.)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0.0574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0.0006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0.0564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0.0586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0.0563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0.0585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100.9</w:t>
            </w:r>
          </w:p>
        </w:tc>
      </w:tr>
      <w:tr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  Bootstrap 0.25 N (100 rep.)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0.0574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0.0012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0.0551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0.0595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0.0564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0.0586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49.5</w:t>
            </w:r>
          </w:p>
        </w:tc>
      </w:tr>
      <w:tr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  Bootstrap 0.25 N (1000 rep.)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0.0574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0.0011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0.0553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0.0596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0.0564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0.0585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51.8</w:t>
            </w:r>
          </w:p>
        </w:tc>
      </w:tr>
      <w:tr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  Jackknife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0.0574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0.0006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0.0563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0.0585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.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.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103.3</w:t>
            </w:r>
          </w:p>
        </w:tc>
      </w:tr>
      <w:tr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  Jackknife 0.25 N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0.0558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0.0011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0.0537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0.0579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.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.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51.6</w:t>
            </w:r>
          </w:p>
        </w:tc>
      </w:tr>
      <w:tr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Mujer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  Bootstrap (100 rep.)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-0.1152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0.0043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-0.1233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-0.1055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-0.1250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-0.1072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-26.6</w:t>
            </w:r>
          </w:p>
        </w:tc>
      </w:tr>
      <w:tr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  Bootstrap (1000 rep.)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-0.1152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0.0043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-0.1237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-0.1071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-0.1234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-0.1068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-26.9</w:t>
            </w:r>
          </w:p>
        </w:tc>
      </w:tr>
      <w:tr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  Bootstrap 0.25 N (100 rep.)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-0.1152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0.0085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-0.1334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-0.1016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-0.1221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-0.1062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-13.6</w:t>
            </w:r>
          </w:p>
        </w:tc>
      </w:tr>
      <w:tr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  Bootstrap 0.25 N (1000 rep.)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-0.1152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0.0089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-0.1320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-0.0975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-0.1241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-0.1068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-13.0</w:t>
            </w:r>
          </w:p>
        </w:tc>
      </w:tr>
      <w:tr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  Jackknife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-0.1152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0.0042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-0.1235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-0.1070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.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.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-27.4</w:t>
            </w:r>
          </w:p>
        </w:tc>
      </w:tr>
      <w:tr>
        <w:tc>
          <w:tcPr>
            <w:tcW w:w="117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  Jackknife 0.25 N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-0.1069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0.0083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-0.1232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-0.0905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.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.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-12.8</w:t>
            </w:r>
          </w:p>
        </w:tc>
      </w:tr>
    </w:tbl>
    <w:p>
      <w:r>
        <w:t/>
      </w:r>
    </w:p>
    <w:p>
      <w:r>
        <w:t/>
      </w:r>
      <w:r>
        <w:rPr>
          <w:rFonts w:ascii="Times New Roman" w:hAnsi="Times New Roman" w:eastAsia="Times New Roman" w:cs="Times New Roman"/>
          <w:sz w:val="16"/>
        </w:rPr>
        <w:t xml:space="preserve">Nota: MCO del log del salario por hora sobre escolaridad, edad, edad al cuadrado, rural y mujer, sin factor de expansión. En MCO y jackknife el intervalo es el normal (coeficiente ± 1.96 E.E.); en bootstrap, el percentil usa los cuantiles 2.5 y 97.5 de los coeficientes y el percentil-t los de t* = (b* - b) / E.E.*. Con 0.25 N el E.E. corresponde a muestras de tamaño N/4. t = coeficiente / E.E.</w:t>
      </w:r>
    </w:p>
    <w:p>
      <w:r>
        <w:t/>
      </w:r>
      <w:r>
        <w:rPr>
          <w:rFonts w:ascii="Times New Roman" w:hAnsi="Times New Roman" w:eastAsia="Times New Roman" w:cs="Times New Roman"/>
          <w:sz w:val="16"/>
        </w:rPr>
        <w:t xml:space="preserve">Fuente: elaboración propia con datos de la ENOE 2026, trimestre II (INEGI).</w:t>
      </w:r>
    </w:p>
    <w:sectPr>
      <w:pgSz w:w="12240" w:h="15840" w:code="1"/>
      <w:pgMar w:top="1440" w:right="1440" w:bottom="1440" w:left="1440"/>
    </w:sectPr>
  </w:body>
</w:document>
</file>

<file path=word/settings.xml><?xml version="1.0" encoding="utf-8"?>
<w:settings xmlns:w14="http://schemas.microsoft.com/office/word/2010/wordml" xmlns:w="http://schemas.openxmlformats.org/wordprocessingml/2006/main" xmlns:r="http://schemas.openxmlformats.org/officeDocument/2006/relationships" xmlns:a="http://schemas.openxmlformats.org/drawingml/2006/main" xmlns:a14="http://schemas.microsoft.com/office/drawing/2010/main" xmlns:m="http://schemas.openxmlformats.org/officeDocument/2006/math" xmlns:w15="http://schemas.microsoft.com/office/word/2012/wordml" xmlns:wp="http://schemas.openxmlformats.org/drawingml/2006/wordprocessingDrawing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14="http://schemas.microsoft.com/office/word/2010/wordml" xmlns:w="http://schemas.openxmlformats.org/wordprocessingml/2006/main" xmlns:r="http://schemas.openxmlformats.org/officeDocument/2006/relationships" xmlns:a="http://schemas.openxmlformats.org/drawingml/2006/main" xmlns:a14="http://schemas.microsoft.com/office/drawing/2010/main" xmlns:m="http://schemas.openxmlformats.org/officeDocument/2006/math" xmlns:w15="http://schemas.microsoft.com/office/word/2012/wordml" xmlns:wp="http://schemas.openxmlformats.org/drawingml/2006/wordprocessingDrawing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  <w:rPr>
      <w:rFonts w:ascii="Times New Roman" w:hAnsi="Times New Roman" w:eastAsia="Times New Roman" w:cs="Times New Roman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