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6.2. ZLFN: control sintético con la ENOE, 10 especificaciones con menor RMSPE previo por variable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RMSPE previo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Efecto promedio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Valor p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Pobreza laboral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1. II y IV de cada año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-3.32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0.290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2. Trimestres de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-3.31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0.258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3. Promedios anuales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1.03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-3.58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0.097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4. IV de 2015-2017, 2018-II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1.08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-2.99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5. Promedios 2017 y 2018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-2.63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6. I y III de 2017 y 2018,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1.17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-3.62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0.258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7. Promedio del periodo previo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1.29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-2.61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8. Promedio 2016-2018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1.34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-2.28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9. 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1.36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-2.80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0.323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10. Promedios bienales 2015-2016 y 2017-2018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1.37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-2.69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Tasa de ocupación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1. Promedios anuales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-1.45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2. II y IV de cada año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-1.23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3. 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-1.59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4. IV de 2015-2017, 2018-II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-0.84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0.677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5. III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-0.53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0.935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6. Promedios bienales 2015-2016 y 2017-2018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-2.22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7. Promedio 2016-2018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8. IV de 2016, 2017 y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-1.31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9. Trimestres de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-1.52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10. Promedio del periodo previo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-1.01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0.516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Tasa de ocupación, hombres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1. II y IV de cada año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0.968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2. Promedios bienales 2015-2016 y 2017-2018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-0.43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0.903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3. Promedio 2016-2018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-0.67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0.806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4. Promedios anuales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-0.66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0.935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5. IV de 2015-2017, 2018-II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-0.89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0.742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6. III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-0.86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0.968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7. 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0.774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8. Promedios 2017 y 2018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-0.90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0.903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9. IV de 2016, 2017 y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-1.17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0.806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10. Trimestres de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-1.23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0.839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Tasa de ocupación, mujeres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1. Promedios anuales 2015-2018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-1.29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0.355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2. Promedio del periodo previo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-0.90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3. 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-0.73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0.613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4. Promedios bienales 2015-2016 y 2017-2018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-0.41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0.387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5. II y IV de cada año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6. III de cada año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0.88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-1.88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0.194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7. IV de 2015-2017, 2018-II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1.02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-1.33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8. IV de 2016, 2017 y 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1.30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-1.96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0.355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9. Promedio 2016-2018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1.38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-1.03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0.452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10. Promedios 2017 y 2018 y 2018-IV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1.49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-2.26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0.226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variables en puntos porcentuales. RMSPE previo: 2015-I a 2018-IV. Efecto promedio: diferencia promedio entre la ZLFN y su control sintético de 2019-I a 2026-II. Valor p: proporción de placebos (31 entidades) con cociente RMSPE posterior / previo mayor o igual al de la ZLFN. Rango 1 = especificación elegida.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