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5670231"/>
        <w:docPartObj>
          <w:docPartGallery w:val="autotext"/>
        </w:docPartObj>
      </w:sdtPr>
      <w:sdtEndPr>
        <w:rPr>
          <w:rStyle w:val="10"/>
          <w:rFonts w:ascii="微软雅黑" w:hAnsi="微软雅黑" w:eastAsia="微软雅黑" w:cs="Times New Roman"/>
          <w:b/>
          <w:bCs/>
          <w:caps w:val="0"/>
          <w:kern w:val="44"/>
          <w:sz w:val="32"/>
          <w:szCs w:val="32"/>
        </w:rPr>
      </w:sdtEndPr>
      <w:sdtContent>
        <w:tbl>
          <w:tblPr>
            <w:tblStyle w:val="6"/>
            <w:tblW w:w="8522" w:type="dxa"/>
            <w:jc w:val="cente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8522" w:type="dxa"/>
              </w:tcPr>
              <w:p>
                <w:pPr>
                  <w:pStyle w:val="18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asciiTheme="majorHAnsi" w:hAnsiTheme="majorHAnsi" w:eastAsiaTheme="majorEastAsia" w:cstheme="majorBidi"/>
                    <w:caps/>
                  </w:rPr>
                  <w:drawing>
                    <wp:inline distT="0" distB="0" distL="0" distR="0">
                      <wp:extent cx="2840355" cy="715645"/>
                      <wp:effectExtent l="19050" t="0" r="0" b="0"/>
                      <wp:docPr id="6" name="图片 6" descr="C:\Users\XD\AppData\Local\Temp\1584194696(1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图片 6" descr="C:\Users\XD\AppData\Local\Temp\1584194696(1)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1990" cy="7160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64"/>
                  <w:szCs w:val="64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64"/>
                  <w:szCs w:val="64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8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64"/>
                        <w:szCs w:val="64"/>
                      </w:rPr>
                      <w:t>电磁场与电磁波实验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8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4"/>
                        <w:szCs w:val="44"/>
                      </w:rPr>
                      <w:t>实验二  静电场边值问题研究实验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8"/>
                  <w:jc w:val="center"/>
                </w:pPr>
              </w:p>
              <w:p>
                <w:pPr>
                  <w:pStyle w:val="18"/>
                  <w:jc w:val="center"/>
                </w:pP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学      院：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电子工程学院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班      级：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1802012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姓      名：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吕瑞涛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学      号：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18020100198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理论课教师：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朱满座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b/>
                    <w:sz w:val="28"/>
                    <w:szCs w:val="28"/>
                  </w:rPr>
                  <w:t>实验课教师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徐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茵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同  做  者：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     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 xml:space="preserve">实验日期： 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2020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年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5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月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18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日</w:t>
                </w:r>
              </w:p>
              <w:p>
                <w:pPr>
                  <w:pStyle w:val="18"/>
                  <w:jc w:val="center"/>
                  <w:rPr>
                    <w:b/>
                    <w:sz w:val="28"/>
                    <w:szCs w:val="28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tbl>
                <w:tblPr>
                  <w:tblStyle w:val="7"/>
                  <w:tblW w:w="8291" w:type="dxa"/>
                  <w:tblInd w:w="0" w:type="dxa"/>
                  <w:tbl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  <w:insideH w:val="single" w:color="000000" w:themeColor="text1" w:sz="4" w:space="0"/>
                    <w:insideV w:val="single" w:color="000000" w:themeColor="text1" w:sz="4" w:space="0"/>
                  </w:tblBorders>
                  <w:tblLayout w:type="fixed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8291"/>
                </w:tblGrid>
                <w:tr>
                  <w:tblPrEx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c>
                    <w:tcPr>
                      <w:tcW w:w="8291" w:type="dxa"/>
                    </w:tcPr>
                    <w:p>
                      <w:pPr>
                        <w:pStyle w:val="18"/>
                        <w:rPr>
                          <w:rFonts w:ascii="微软雅黑" w:hAnsi="微软雅黑" w:eastAsia="微软雅黑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</w:rPr>
                        <w:t>成绩：</w:t>
                      </w:r>
                    </w:p>
                    <w:p>
                      <w:pPr>
                        <w:pStyle w:val="18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18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18"/>
                        <w:rPr>
                          <w:rFonts w:hint="eastAsia"/>
                          <w:b/>
                          <w:bCs/>
                        </w:rPr>
                      </w:pPr>
                    </w:p>
                    <w:p>
                      <w:pPr>
                        <w:pStyle w:val="18"/>
                        <w:rPr>
                          <w:b/>
                          <w:bCs/>
                        </w:rPr>
                      </w:pPr>
                    </w:p>
                  </w:tc>
                </w:tr>
              </w:tbl>
              <w:p>
                <w:pPr>
                  <w:pStyle w:val="18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8"/>
                  <w:rPr>
                    <w:b/>
                    <w:bCs/>
                  </w:rPr>
                </w:pPr>
              </w:p>
            </w:tc>
          </w:tr>
        </w:tbl>
        <w:tbl>
          <w:tblPr>
            <w:tblStyle w:val="6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b/>
                </w:rPr>
                <w:alias w:val="摘要"/>
                <w:id w:val="8276291"/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18"/>
                    </w:pPr>
                    <w:r>
                      <w:rPr>
                        <w:rFonts w:hint="eastAsia"/>
                        <w:b/>
                      </w:rPr>
                      <w:t>请务必填写清楚姓名、学号、班级及理论课任课老师。</w:t>
                    </w:r>
                  </w:p>
                </w:tc>
              </w:sdtContent>
            </w:sdt>
          </w:tr>
        </w:tbl>
        <w:p/>
        <w:p>
          <w:pPr>
            <w:widowControl/>
            <w:jc w:val="left"/>
            <w:rPr>
              <w:rStyle w:val="10"/>
              <w:rFonts w:ascii="微软雅黑" w:hAnsi="微软雅黑" w:eastAsia="微软雅黑"/>
              <w:sz w:val="32"/>
              <w:szCs w:val="32"/>
            </w:rPr>
          </w:pPr>
          <w:r>
            <w:rPr>
              <w:rStyle w:val="10"/>
              <w:rFonts w:ascii="微软雅黑" w:hAnsi="微软雅黑" w:eastAsia="微软雅黑"/>
              <w:sz w:val="32"/>
              <w:szCs w:val="32"/>
            </w:rPr>
            <w:br w:type="page"/>
          </w:r>
        </w:p>
      </w:sdtContent>
    </w:sdt>
    <w:p>
      <w:pPr>
        <w:jc w:val="center"/>
        <w:rPr>
          <w:rStyle w:val="10"/>
          <w:rFonts w:ascii="微软雅黑" w:hAnsi="微软雅黑" w:eastAsia="微软雅黑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Style w:val="10"/>
          <w:rFonts w:ascii="微软雅黑" w:hAnsi="微软雅黑" w:eastAsia="微软雅黑"/>
          <w:sz w:val="32"/>
          <w:szCs w:val="32"/>
        </w:rPr>
      </w:pPr>
      <w:r>
        <w:rPr>
          <w:rStyle w:val="10"/>
          <w:rFonts w:hint="eastAsia" w:ascii="微软雅黑" w:hAnsi="微软雅黑" w:eastAsia="微软雅黑"/>
          <w:sz w:val="32"/>
          <w:szCs w:val="32"/>
        </w:rPr>
        <w:t>实验二  静电场边值问题研究实验</w: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10"/>
          <w:rFonts w:hint="eastAsia" w:ascii="微软雅黑" w:hAnsi="微软雅黑" w:eastAsia="微软雅黑"/>
          <w:sz w:val="32"/>
          <w:szCs w:val="32"/>
        </w:rPr>
        <w:instrText xml:space="preserve">MACROBUTTON MTEditEquationSection2</w:instrText>
      </w:r>
      <w:r>
        <w:rPr>
          <w:rStyle w:val="11"/>
          <w:rFonts w:ascii="微软雅黑" w:hAnsi="微软雅黑" w:eastAsia="微软雅黑"/>
        </w:rPr>
        <w:instrText xml:space="preserve">Equation Section (Next)</w:instrTex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10"/>
          <w:rFonts w:ascii="微软雅黑" w:hAnsi="微软雅黑" w:eastAsia="微软雅黑"/>
          <w:sz w:val="32"/>
          <w:szCs w:val="32"/>
        </w:rPr>
        <w:instrText xml:space="preserve"> SEQ MTEqn \r \h \* MERGEFORMAT </w:instrTex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end"/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10"/>
          <w:rFonts w:ascii="微软雅黑" w:hAnsi="微软雅黑" w:eastAsia="微软雅黑"/>
          <w:sz w:val="32"/>
          <w:szCs w:val="32"/>
        </w:rPr>
        <w:instrText xml:space="preserve"> SEQ MTSec \h \* MERGEFORMAT </w:instrTex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end"/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end"/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实验目的：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通过虚拟仿真，观察平行板电容器与加盖导体槽内部的电场分布。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学习用模拟法测量静电场的方法。</w:t>
      </w:r>
      <w:r>
        <w:rPr>
          <w:rFonts w:ascii="微软雅黑" w:hAnsi="微软雅黑" w:eastAsia="微软雅黑"/>
          <w:position w:val="-10"/>
          <w:sz w:val="24"/>
        </w:rPr>
        <w:object>
          <v:shape id="_x0000_i1025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了解影响实验精度的因素。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实验装置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被测模型有两个：一个用来模拟无边缘效应的平行板电容器中的电位分布；另一个用来模拟有金属盖的无限长接地槽形导体内电位分布。被模拟的平行板电容器，加盖槽形导体及它们对应的模型如图1所示。</w:t>
      </w: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1558925" cy="2386330"/>
            <wp:effectExtent l="0" t="0" r="0" b="0"/>
            <wp:docPr id="1" name="图片 11" descr="DSC_813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DSC_8135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 xml:space="preserve">    </w:t>
      </w: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1767840" cy="2403475"/>
            <wp:effectExtent l="0" t="0" r="0" b="0"/>
            <wp:docPr id="2" name="图片 10" descr="DSC_813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DSC_8137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图1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被测模型是在碳素导电纸上按所需的几何形状，尺寸制成如图1所示的金属“电极”。为保证各被测点位置，采用“网格板”来定位。该“网格板”是用透明塑料薄板，板上沿X、Y坐标轴每一厘米打一个小孔，这样就形成了一个正方形网格阵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实验原理：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对于复杂边界的静电场边值问题，用解析法求解很困难，甚至是不可能的。在实际求解过程中，直接求出静电场的分布或电位又很困难，其精度也难以保证。本实验根据静电场与恒定电流场的相似性，用碳素导电纸中形成的恒定电流场来模拟无源区域的二维静电场，从而测出边界比较复杂的无源区域静电场分布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在静电场的无源区域中，电场强度</w:t>
      </w:r>
      <w:r>
        <w:rPr>
          <w:rFonts w:ascii="微软雅黑" w:hAnsi="微软雅黑" w:eastAsia="微软雅黑"/>
          <w:position w:val="-4"/>
          <w:sz w:val="24"/>
        </w:rPr>
        <w:object>
          <v:shape id="_x0000_i1026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电位移矢量</w:t>
      </w:r>
      <w:r>
        <w:rPr>
          <w:rFonts w:ascii="微软雅黑" w:hAnsi="微软雅黑" w:eastAsia="微软雅黑"/>
          <w:position w:val="-4"/>
          <w:sz w:val="24"/>
        </w:rPr>
        <w:object>
          <v:shape id="_x0000_i1027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及电位</w:t>
      </w:r>
      <w:r>
        <w:rPr>
          <w:rFonts w:ascii="微软雅黑" w:hAnsi="微软雅黑" w:eastAsia="微软雅黑"/>
          <w:position w:val="-10"/>
          <w:sz w:val="24"/>
        </w:rPr>
        <w:object>
          <v:shape id="_x0000_i102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满足下列方程：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72"/>
        </w:rPr>
        <w:object>
          <v:shape id="_x0000_i1029" o:spt="75" type="#_x0000_t75" style="height:78pt;width:5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1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式中</w:t>
      </w:r>
      <w:r>
        <w:rPr>
          <w:rFonts w:ascii="微软雅黑" w:hAnsi="微软雅黑" w:eastAsia="微软雅黑"/>
          <w:position w:val="-6"/>
          <w:sz w:val="24"/>
        </w:rPr>
        <w:object>
          <v:shape id="_x0000_i103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为静电场的介电常数。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在恒定电流场中，电场强度</w:t>
      </w:r>
      <w:r>
        <w:rPr>
          <w:rFonts w:ascii="微软雅黑" w:hAnsi="微软雅黑" w:eastAsia="微软雅黑"/>
          <w:position w:val="-4"/>
          <w:sz w:val="24"/>
        </w:rPr>
        <w:object>
          <v:shape id="_x0000_i1031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、电流密度</w:t>
      </w:r>
      <w:r>
        <w:rPr>
          <w:rFonts w:ascii="微软雅黑" w:hAnsi="微软雅黑" w:eastAsia="微软雅黑"/>
          <w:position w:val="-6"/>
          <w:sz w:val="24"/>
        </w:rPr>
        <w:object>
          <v:shape id="_x0000_i1032" o:spt="75" type="#_x0000_t75" style="height:17.25pt;width:11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及电位</w:t>
      </w:r>
      <w:r>
        <w:rPr>
          <w:rFonts w:ascii="微软雅黑" w:hAnsi="微软雅黑" w:eastAsia="微软雅黑"/>
          <w:position w:val="-10"/>
          <w:sz w:val="24"/>
        </w:rPr>
        <w:object>
          <v:shape id="_x0000_i1033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满足下列方程：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72"/>
        </w:rPr>
        <w:object>
          <v:shape id="_x0000_i1034" o:spt="75" type="#_x0000_t75" style="height:78pt;width:4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2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式中</w:t>
      </w:r>
      <w:r>
        <w:rPr>
          <w:rFonts w:ascii="微软雅黑" w:hAnsi="微软雅黑" w:eastAsia="微软雅黑"/>
          <w:position w:val="-6"/>
          <w:sz w:val="24"/>
        </w:rPr>
        <w:object>
          <v:shape id="_x0000_i1035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为恒定电流场中导电媒质的电导率。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因为方程组(1)与方程组(2)在形式上完全相似，所以</w:t>
      </w:r>
      <w:r>
        <w:rPr>
          <w:rFonts w:ascii="微软雅黑" w:hAnsi="微软雅黑" w:eastAsia="微软雅黑"/>
          <w:position w:val="-10"/>
          <w:sz w:val="24"/>
        </w:rPr>
        <w:object>
          <v:shape id="_x0000_i103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（静电场中的电位分布函数）与</w:t>
      </w:r>
      <w:r>
        <w:rPr>
          <w:rFonts w:ascii="微软雅黑" w:hAnsi="微软雅黑" w:eastAsia="微软雅黑"/>
          <w:position w:val="-10"/>
          <w:sz w:val="24"/>
        </w:rPr>
        <w:object>
          <v:shape id="_x0000_i1037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（恒定电流场中的电位分布函数）应满足同样形式的微分方程。由方程组(1)和方程组(2)很容易求得：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38" o:spt="75" type="#_x0000_t75" style="height:19.5pt;width:66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3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39" o:spt="75" type="#_x0000_t75" style="height:19.5pt;width:66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4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式中</w:t>
      </w:r>
      <w:r>
        <w:rPr>
          <w:rFonts w:ascii="微软雅黑" w:hAnsi="微软雅黑" w:eastAsia="微软雅黑"/>
          <w:position w:val="-6"/>
          <w:sz w:val="24"/>
        </w:rPr>
        <w:object>
          <v:shape id="_x0000_i104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与</w:t>
      </w:r>
      <w:r>
        <w:rPr>
          <w:rFonts w:ascii="微软雅黑" w:hAnsi="微软雅黑" w:eastAsia="微软雅黑"/>
          <w:position w:val="-6"/>
          <w:sz w:val="24"/>
        </w:rPr>
        <w:object>
          <v:shape id="_x0000_i104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处于相应的位置，它们为对偶量。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若</w:t>
      </w:r>
      <w:r>
        <w:rPr>
          <w:rFonts w:ascii="微软雅黑" w:hAnsi="微软雅黑" w:eastAsia="微软雅黑"/>
          <w:position w:val="-6"/>
          <w:sz w:val="24"/>
        </w:rPr>
        <w:object>
          <v:shape id="_x0000_i10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与</w:t>
      </w:r>
      <w:r>
        <w:rPr>
          <w:rFonts w:ascii="微软雅黑" w:hAnsi="微软雅黑" w:eastAsia="微软雅黑"/>
          <w:position w:val="-6"/>
          <w:sz w:val="24"/>
        </w:rPr>
        <w:object>
          <v:shape id="_x0000_i104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在所讨论区域为均匀分布（即其值与坐标无关），则方程(3)、(4)均可简化为拉普拉斯方程：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0"/>
        </w:rPr>
        <w:object>
          <v:shape id="_x0000_i1044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1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5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0"/>
        </w:rPr>
        <w:object>
          <v:shape id="_x0000_i1045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1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6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电位场解的唯一定理可知：满足相同微分方程的两个电位场，它们具有相同的边界电位值，因此，在保证边界电位值不变的情况下，我们可以用恒定电流场的模型来模拟无源区域的静电场，当静电场中媒质为均匀媒质时，其导电媒质也应为均匀媒质，这样测得的恒定电流场的电位分布就是被模拟的静电场的电位分布，不需要任何改动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实验内容：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A 虚拟仿真平行板电容器与加盖导体槽内的电位分布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使用Matlab或其它编程语言，编写程序，对被测模型的电位分布进行仿真。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自选仿真软件，自行设定参数，建立模型，对平行板电容器的电位分布进行虚拟仿真，观察平行板电容器的电位分布趋势，并将仿真结果图记录到实验报告。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自选仿真软件，自行设定参数，建立模型，对加盖导体槽内部的电位分布进行虚拟仿真，观察加盖导体槽内部的电位分布趋势，并将仿真结果图记录到实验报告。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将程序代码及相应的说明文字和图形附到实验报告的附录中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ascii="微软雅黑" w:hAnsi="微软雅黑" w:eastAsia="微软雅黑"/>
          <w:sz w:val="24"/>
        </w:rPr>
        <w:t>不够可附页</w:t>
      </w:r>
      <w:r>
        <w:rPr>
          <w:rFonts w:hint="eastAsia" w:ascii="微软雅黑" w:hAnsi="微软雅黑" w:eastAsia="微软雅黑"/>
          <w:sz w:val="24"/>
        </w:rPr>
        <w:t>。可以使用Matlab的pdetool工具箱，利用其图形化界面进行简单设置即可实现建模仿真，请将其设置参数截图与步骤说明记录到附录中。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B 模拟法测量平行板电容器与加盖导体槽内的电位分布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设置直流稳压电源输出为12V。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依次将两个被测模型连接好电路，如图2所示。先测稳压源输出电压并记入测量数据表头，估算三用表测量误差。注意，加盖导体槽槽盖接电源正极（+12V），槽体接电源负极（0V）。</w:t>
      </w: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2482215" cy="3788410"/>
            <wp:effectExtent l="0" t="0" r="0" b="0"/>
            <wp:docPr id="3" name="图片 9" descr="DSC_81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DSC_8141b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 xml:space="preserve">   </w:t>
      </w: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2525395" cy="3788410"/>
            <wp:effectExtent l="0" t="0" r="0" b="0"/>
            <wp:docPr id="4" name="图片 8" descr="DSC_81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SC_8138b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图2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使用万用表在自制“网格板”上逐点测量各点电位值，并记录到实验报告中。</w:t>
      </w: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hint="eastAsia"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实验数据：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A 虚拟仿真平行板电容器与加盖导体槽内的电位分布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平行板电容器的电位分布仿真图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114300" distR="114300">
            <wp:extent cx="5474335" cy="3822700"/>
            <wp:effectExtent l="0" t="0" r="12065" b="6350"/>
            <wp:docPr id="9" name="图片 9" descr="C:\Users\lenovo\Desktop\电磁场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Desktop\电磁场\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加盖导体槽内的电位分布仿真图</w:t>
      </w:r>
    </w:p>
    <w:p>
      <w:pPr>
        <w:rPr>
          <w:rFonts w:ascii="微软雅黑" w:hAnsi="微软雅黑" w:eastAsia="微软雅黑"/>
          <w:sz w:val="24"/>
        </w:rPr>
      </w:pPr>
      <w:bookmarkStart w:id="0" w:name="_GoBack"/>
      <w:r>
        <w:rPr>
          <w:rFonts w:ascii="微软雅黑" w:hAnsi="微软雅黑" w:eastAsia="微软雅黑"/>
          <w:sz w:val="24"/>
        </w:rPr>
        <w:drawing>
          <wp:inline distT="0" distB="0" distL="0" distR="0">
            <wp:extent cx="5474335" cy="3822700"/>
            <wp:effectExtent l="0" t="0" r="12065" b="6350"/>
            <wp:docPr id="8" name="图片 8" descr="C:\Users\lenovo\Desktop\电磁场\实验二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enovo\Desktop\电磁场\实验二\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B 模拟法测量平行板电容器与加盖导体槽内的电位分布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平行板电容器：</w:t>
      </w:r>
      <w:r>
        <w:rPr>
          <w:rFonts w:ascii="微软雅黑" w:hAnsi="微软雅黑" w:eastAsia="微软雅黑"/>
          <w:sz w:val="24"/>
        </w:rPr>
        <w:t>u =    (v)</w:t>
      </w:r>
    </w:p>
    <w:tbl>
      <w:tblPr>
        <w:tblStyle w:val="6"/>
        <w:tblW w:w="75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632"/>
        <w:gridCol w:w="710"/>
        <w:gridCol w:w="712"/>
        <w:gridCol w:w="712"/>
        <w:gridCol w:w="712"/>
        <w:gridCol w:w="712"/>
        <w:gridCol w:w="712"/>
        <w:gridCol w:w="712"/>
        <w:gridCol w:w="712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-6350</wp:posOffset>
                      </wp:positionV>
                      <wp:extent cx="336550" cy="256540"/>
                      <wp:effectExtent l="3175" t="3810" r="10795" b="13970"/>
                      <wp:wrapNone/>
                      <wp:docPr id="5" name="__TH_L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5654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_TH_L2" o:spid="_x0000_s1026" o:spt="20" style="position:absolute;left:0pt;margin-left:-5.4pt;margin-top:-0.5pt;height:20.2pt;width:26.5pt;z-index:251659264;mso-width-relative:page;mso-height-relative:page;" filled="f" stroked="t" coordsize="21600,21600" o:gfxdata="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d2PrdUAAAAIAQAADwAAAAAAAAABACAAAAAiAAAAZHJzL2Rvd25y&#10;ZXYueG1sUEsBAhQAFAAAAAgAh07iQLINIUHIAQAAkAMAAA4AAAAAAAAAAQAgAAAAJAEAAGRycy9l&#10;Mm9Eb2MueG1sUEsFBgAAAAAGAAYAWQEAAF4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一</w:t>
            </w: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二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三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四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五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六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七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八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九</w:t>
            </w: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6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7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8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9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10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</w:tbl>
    <w:p>
      <w:pPr>
        <w:pStyle w:val="17"/>
        <w:ind w:left="900" w:firstLine="0" w:firstLineChars="0"/>
        <w:rPr>
          <w:rFonts w:ascii="微软雅黑" w:hAnsi="微软雅黑" w:eastAsia="微软雅黑"/>
          <w:sz w:val="24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加盖槽形导体：</w:t>
      </w:r>
      <w:r>
        <w:rPr>
          <w:rFonts w:ascii="微软雅黑" w:hAnsi="微软雅黑" w:eastAsia="微软雅黑"/>
          <w:sz w:val="24"/>
        </w:rPr>
        <w:t>u =    (v)</w:t>
      </w:r>
    </w:p>
    <w:tbl>
      <w:tblPr>
        <w:tblStyle w:val="6"/>
        <w:tblW w:w="7559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65"/>
        <w:gridCol w:w="737"/>
        <w:gridCol w:w="775"/>
        <w:gridCol w:w="706"/>
        <w:gridCol w:w="706"/>
        <w:gridCol w:w="706"/>
        <w:gridCol w:w="70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16510</wp:posOffset>
                      </wp:positionV>
                      <wp:extent cx="336550" cy="259715"/>
                      <wp:effectExtent l="3175" t="3810" r="10795" b="10795"/>
                      <wp:wrapNone/>
                      <wp:docPr id="7" name="__TH_L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5971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_TH_L4" o:spid="_x0000_s1026" o:spt="20" style="position:absolute;left:0pt;margin-left:-5.4pt;margin-top:1.3pt;height:20.45pt;width:26.5pt;z-index:251660288;mso-width-relative:page;mso-height-relative:page;" filled="f" stroked="t" coordsize="21600,21600" o:gfxdata="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dzVtNQAAAAHAQAADwAAAAAAAAABACAAAAAiAAAAZHJzL2Rvd25yZXYu&#10;eG1sUEsBAhQAFAAAAAgAh07iQM4L4iTGAQAAkAMAAA4AAAAAAAAAAQAgAAAAIwEAAGRycy9lMm9E&#10;b2MueG1sUEsFBgAAAAAGAAYAWQEAAFs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一</w:t>
            </w: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二</w:t>
            </w: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三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四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五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六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七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八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九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6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7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8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9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10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</w:tbl>
    <w:p>
      <w:pPr>
        <w:ind w:firstLine="480"/>
        <w:rPr>
          <w:rFonts w:ascii="微软雅黑" w:hAnsi="微软雅黑" w:eastAsia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思考题：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本实验方法很简单，但是一个工程上很有效的一种方法。因此，除测出所需点电位分布外，还要深入理解有关的一些问题。在做实验报告时除一般要求内容数据外，还要回答下列问题：</w:t>
      </w: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将平行板电容器的被测模型所测的数据画出图，与平行板电容器理论上的距离—电位比较。编写程序，绘制测量数据与理论数据距离—电位曲线图，并将程序代码附在附录中。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根据所测得的边界条件数据，编程算出加盖模型空间内X=3、Y=7（厘米）点电场的近似值E（3, 7）=？若要精确求出各点电场值，实验应该如何改进？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造成本实验误差的因素有哪些？应如何克服？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如果想要模拟三维边值型静电场，你认为可以采取什么方法？</w:t>
      </w: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widowControl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br w:type="page"/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附录：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请在此处附上虚拟仿真程序代码及其他需要附录的文字说明或图，可附页。</w:t>
      </w:r>
    </w:p>
    <w:sectPr>
      <w:footerReference r:id="rId6" w:type="default"/>
      <w:type w:val="oddPage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547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10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5D5A"/>
    <w:multiLevelType w:val="multilevel"/>
    <w:tmpl w:val="0E4A5D5A"/>
    <w:lvl w:ilvl="0" w:tentative="0">
      <w:start w:val="5"/>
      <w:numFmt w:val="japaneseCounting"/>
      <w:lvlText w:val="%1、"/>
      <w:lvlJc w:val="left"/>
      <w:pPr>
        <w:tabs>
          <w:tab w:val="left" w:pos="900"/>
        </w:tabs>
        <w:ind w:left="900" w:hanging="48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482" w:hanging="482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2088"/>
        </w:tabs>
        <w:ind w:left="2088" w:hanging="828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75A7AFA"/>
    <w:multiLevelType w:val="multilevel"/>
    <w:tmpl w:val="175A7AFA"/>
    <w:lvl w:ilvl="0" w:tentative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3FD92B57"/>
    <w:multiLevelType w:val="multilevel"/>
    <w:tmpl w:val="3FD92B5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57B4170"/>
    <w:multiLevelType w:val="multilevel"/>
    <w:tmpl w:val="457B4170"/>
    <w:lvl w:ilvl="0" w:tentative="0">
      <w:start w:val="1"/>
      <w:numFmt w:val="decimal"/>
      <w:lvlText w:val="%1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B309E"/>
    <w:multiLevelType w:val="multilevel"/>
    <w:tmpl w:val="7FEB309E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2E"/>
    <w:rsid w:val="000854BA"/>
    <w:rsid w:val="00096732"/>
    <w:rsid w:val="000B48A6"/>
    <w:rsid w:val="00190FD5"/>
    <w:rsid w:val="001A3856"/>
    <w:rsid w:val="001B352A"/>
    <w:rsid w:val="001B58D5"/>
    <w:rsid w:val="001C390E"/>
    <w:rsid w:val="001E6201"/>
    <w:rsid w:val="0026685A"/>
    <w:rsid w:val="00270CDD"/>
    <w:rsid w:val="00300D7C"/>
    <w:rsid w:val="00327D9A"/>
    <w:rsid w:val="003461E3"/>
    <w:rsid w:val="003E3E55"/>
    <w:rsid w:val="003F05CC"/>
    <w:rsid w:val="0043783B"/>
    <w:rsid w:val="00447090"/>
    <w:rsid w:val="004B780F"/>
    <w:rsid w:val="00570E54"/>
    <w:rsid w:val="00571E65"/>
    <w:rsid w:val="005B31E1"/>
    <w:rsid w:val="005F14FA"/>
    <w:rsid w:val="005F1AAE"/>
    <w:rsid w:val="005F2870"/>
    <w:rsid w:val="005F4C79"/>
    <w:rsid w:val="00642378"/>
    <w:rsid w:val="0064568B"/>
    <w:rsid w:val="006B3611"/>
    <w:rsid w:val="006D2B55"/>
    <w:rsid w:val="006E3C52"/>
    <w:rsid w:val="00732E8F"/>
    <w:rsid w:val="007A5C4E"/>
    <w:rsid w:val="007C0477"/>
    <w:rsid w:val="007C08A7"/>
    <w:rsid w:val="007E12AE"/>
    <w:rsid w:val="007F70DA"/>
    <w:rsid w:val="008E1F27"/>
    <w:rsid w:val="00914515"/>
    <w:rsid w:val="00924E8B"/>
    <w:rsid w:val="00954E62"/>
    <w:rsid w:val="009708E5"/>
    <w:rsid w:val="009D0890"/>
    <w:rsid w:val="009D4D21"/>
    <w:rsid w:val="00A91979"/>
    <w:rsid w:val="00AD1D9E"/>
    <w:rsid w:val="00B05FA0"/>
    <w:rsid w:val="00B263DA"/>
    <w:rsid w:val="00B27629"/>
    <w:rsid w:val="00BC5A68"/>
    <w:rsid w:val="00CA7CB5"/>
    <w:rsid w:val="00CC6E09"/>
    <w:rsid w:val="00CD1B2E"/>
    <w:rsid w:val="00CE3353"/>
    <w:rsid w:val="00D31833"/>
    <w:rsid w:val="00D54688"/>
    <w:rsid w:val="00D63CF3"/>
    <w:rsid w:val="00E6217B"/>
    <w:rsid w:val="00E97BC9"/>
    <w:rsid w:val="00FA7167"/>
    <w:rsid w:val="00FE3551"/>
    <w:rsid w:val="3E626C8E"/>
    <w:rsid w:val="41480F7B"/>
    <w:rsid w:val="418D106A"/>
    <w:rsid w:val="46873421"/>
    <w:rsid w:val="4AA16354"/>
    <w:rsid w:val="68C77D7D"/>
    <w:rsid w:val="6D3378D6"/>
    <w:rsid w:val="7EB658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uiPriority w:val="0"/>
  </w:style>
  <w:style w:type="character" w:customStyle="1" w:styleId="10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MTEquationSection"/>
    <w:basedOn w:val="8"/>
    <w:uiPriority w:val="0"/>
    <w:rPr>
      <w:b/>
      <w:bCs/>
      <w:vanish/>
      <w:color w:val="FF0000"/>
      <w:sz w:val="30"/>
    </w:rPr>
  </w:style>
  <w:style w:type="paragraph" w:customStyle="1" w:styleId="12">
    <w:name w:val="MTDisplayEquation"/>
    <w:basedOn w:val="1"/>
    <w:next w:val="1"/>
    <w:link w:val="13"/>
    <w:uiPriority w:val="0"/>
    <w:pPr>
      <w:tabs>
        <w:tab w:val="center" w:pos="4520"/>
        <w:tab w:val="right" w:pos="8220"/>
      </w:tabs>
      <w:ind w:left="84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">
    <w:name w:val="MTDisplayEquation Char"/>
    <w:basedOn w:val="8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5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Char"/>
    <w:basedOn w:val="8"/>
    <w:link w:val="18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0" Type="http://schemas.openxmlformats.org/officeDocument/2006/relationships/fontTable" Target="fontTable.xml"/><Relationship Id="rId6" Type="http://schemas.openxmlformats.org/officeDocument/2006/relationships/footer" Target="footer3.xml"/><Relationship Id="rId59" Type="http://schemas.openxmlformats.org/officeDocument/2006/relationships/customXml" Target="../customXml/item2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jpeg"/><Relationship Id="rId53" Type="http://schemas.openxmlformats.org/officeDocument/2006/relationships/image" Target="media/image25.jpeg"/><Relationship Id="rId52" Type="http://schemas.openxmlformats.org/officeDocument/2006/relationships/image" Target="media/image24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" Type="http://schemas.openxmlformats.org/officeDocument/2006/relationships/footer" Target="footer2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2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1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2.wmf"/><Relationship Id="rId27" Type="http://schemas.openxmlformats.org/officeDocument/2006/relationships/oleObject" Target="embeddings/oleObject9.bin"/><Relationship Id="rId26" Type="http://schemas.openxmlformats.org/officeDocument/2006/relationships/image" Target="media/image11.wmf"/><Relationship Id="rId25" Type="http://schemas.openxmlformats.org/officeDocument/2006/relationships/oleObject" Target="embeddings/oleObject8.bin"/><Relationship Id="rId24" Type="http://schemas.openxmlformats.org/officeDocument/2006/relationships/image" Target="media/image10.wmf"/><Relationship Id="rId23" Type="http://schemas.openxmlformats.org/officeDocument/2006/relationships/oleObject" Target="embeddings/oleObject7.bin"/><Relationship Id="rId22" Type="http://schemas.openxmlformats.org/officeDocument/2006/relationships/image" Target="media/image9.wmf"/><Relationship Id="rId21" Type="http://schemas.openxmlformats.org/officeDocument/2006/relationships/oleObject" Target="embeddings/oleObject6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7.wmf"/><Relationship Id="rId17" Type="http://schemas.openxmlformats.org/officeDocument/2006/relationships/oleObject" Target="embeddings/oleObject4.bin"/><Relationship Id="rId16" Type="http://schemas.openxmlformats.org/officeDocument/2006/relationships/image" Target="media/image6.wmf"/><Relationship Id="rId15" Type="http://schemas.openxmlformats.org/officeDocument/2006/relationships/oleObject" Target="embeddings/oleObject3.bin"/><Relationship Id="rId14" Type="http://schemas.openxmlformats.org/officeDocument/2006/relationships/image" Target="media/image5.wmf"/><Relationship Id="rId13" Type="http://schemas.openxmlformats.org/officeDocument/2006/relationships/oleObject" Target="embeddings/oleObject2.bin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/>
  <Abstract>请务必填写清楚姓名、学号、班级及理论课任课老师。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580</Words>
  <Characters>3308</Characters>
  <Lines>27</Lines>
  <Paragraphs>7</Paragraphs>
  <TotalTime>0</TotalTime>
  <ScaleCrop>false</ScaleCrop>
  <LinksUpToDate>false</LinksUpToDate>
  <CharactersWithSpaces>3881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2020-04-02T10:19:00Z</dcterms:created>
  <dc:creator>XD</dc:creator>
  <cp:lastModifiedBy>Phillweston</cp:lastModifiedBy>
  <dcterms:modified xsi:type="dcterms:W3CDTF">2020-05-23T08:30:11Z</dcterms:modified>
  <dc:subject>实验二  静电场边值问题研究实验</dc:subject>
  <dc:title>电磁场与电磁波实验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KSOProductBuildVer">
    <vt:lpwstr>2052-11.1.0.9662</vt:lpwstr>
  </property>
</Properties>
</file>