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235"/>
        <w:gridCol w:w="2700"/>
        <w:gridCol w:w="5431"/>
      </w:tblGrid>
      <w:tr w:rsidR="00B1206C" w:rsidRPr="00B1206C" w14:paraId="5F9E135F" w14:textId="77777777" w:rsidTr="00B1206C">
        <w:tc>
          <w:tcPr>
            <w:tcW w:w="3235" w:type="dxa"/>
          </w:tcPr>
          <w:p w14:paraId="2EEFF4F0" w14:textId="77777777" w:rsidR="00B1206C" w:rsidRPr="00B1206C" w:rsidRDefault="00B1206C" w:rsidP="00B1206C">
            <w:pPr>
              <w:rPr>
                <w:rFonts w:ascii="Arial" w:hAnsi="Arial" w:cs="Arial"/>
                <w:sz w:val="16"/>
                <w:szCs w:val="16"/>
              </w:rPr>
            </w:pPr>
          </w:p>
        </w:tc>
        <w:tc>
          <w:tcPr>
            <w:tcW w:w="2700" w:type="dxa"/>
          </w:tcPr>
          <w:p w14:paraId="06591E42" w14:textId="77777777" w:rsidR="00B1206C" w:rsidRPr="00B1206C" w:rsidRDefault="00B1206C" w:rsidP="00B1206C">
            <w:pPr>
              <w:jc w:val="center"/>
              <w:rPr>
                <w:rFonts w:ascii="Arial" w:hAnsi="Arial" w:cs="Arial"/>
                <w:b/>
                <w:bCs/>
                <w:color w:val="FF0000"/>
                <w:sz w:val="16"/>
                <w:szCs w:val="16"/>
              </w:rPr>
            </w:pPr>
            <w:r w:rsidRPr="00B1206C">
              <w:rPr>
                <w:rFonts w:ascii="Arial" w:hAnsi="Arial" w:cs="Arial"/>
                <w:b/>
                <w:bCs/>
                <w:color w:val="FF0000"/>
                <w:sz w:val="16"/>
                <w:szCs w:val="16"/>
              </w:rPr>
              <w:t>Subject to Completion</w:t>
            </w:r>
          </w:p>
          <w:p w14:paraId="773D2CE7" w14:textId="77777777" w:rsidR="00B1206C" w:rsidRPr="00B1206C" w:rsidRDefault="00B1206C" w:rsidP="00B1206C">
            <w:pPr>
              <w:jc w:val="center"/>
              <w:rPr>
                <w:rFonts w:ascii="Arial" w:hAnsi="Arial" w:cs="Arial"/>
                <w:b/>
                <w:bCs/>
                <w:color w:val="FF0000"/>
                <w:sz w:val="16"/>
                <w:szCs w:val="16"/>
              </w:rPr>
            </w:pPr>
            <w:r w:rsidRPr="00B1206C">
              <w:rPr>
                <w:rFonts w:ascii="Arial" w:hAnsi="Arial" w:cs="Arial"/>
                <w:b/>
                <w:bCs/>
                <w:color w:val="FF0000"/>
                <w:sz w:val="16"/>
                <w:szCs w:val="16"/>
              </w:rPr>
              <w:t>Preliminary Term Sheet</w:t>
            </w:r>
          </w:p>
          <w:p w14:paraId="469479D2" w14:textId="7A1AAC96" w:rsidR="00B1206C" w:rsidRPr="00B1206C" w:rsidRDefault="00B1206C" w:rsidP="00B1206C">
            <w:pPr>
              <w:jc w:val="center"/>
              <w:rPr>
                <w:rFonts w:ascii="Arial" w:hAnsi="Arial" w:cs="Arial"/>
                <w:color w:val="FF0000"/>
                <w:sz w:val="16"/>
                <w:szCs w:val="16"/>
              </w:rPr>
            </w:pPr>
            <w:r w:rsidRPr="00B1206C">
              <w:rPr>
                <w:rFonts w:ascii="Arial" w:hAnsi="Arial" w:cs="Arial"/>
                <w:b/>
                <w:bCs/>
                <w:color w:val="FF0000"/>
                <w:sz w:val="16"/>
                <w:szCs w:val="16"/>
              </w:rPr>
              <w:t xml:space="preserve">Dated </w:t>
            </w:r>
            <w:r w:rsidR="00682C00" w:rsidRPr="00682C00">
              <w:rPr>
                <w:rFonts w:ascii="Arial" w:hAnsi="Arial" w:cs="Arial"/>
                <w:b/>
                <w:bCs/>
                <w:color w:val="FF0000"/>
                <w:sz w:val="16"/>
                <w:szCs w:val="16"/>
              </w:rPr>
              <w:t>{</w:t>
            </w:r>
            <w:proofErr w:type="spellStart"/>
            <w:r w:rsidR="00682C00" w:rsidRPr="00682C00">
              <w:rPr>
                <w:rFonts w:ascii="Arial" w:hAnsi="Arial" w:cs="Arial"/>
                <w:b/>
                <w:bCs/>
                <w:color w:val="FF0000"/>
                <w:sz w:val="16"/>
                <w:szCs w:val="16"/>
              </w:rPr>
              <w:t>doc_date</w:t>
            </w:r>
            <w:proofErr w:type="spellEnd"/>
            <w:r w:rsidR="00682C00" w:rsidRPr="00682C00">
              <w:rPr>
                <w:rFonts w:ascii="Arial" w:hAnsi="Arial" w:cs="Arial"/>
                <w:b/>
                <w:bCs/>
                <w:color w:val="FF0000"/>
                <w:sz w:val="16"/>
                <w:szCs w:val="16"/>
              </w:rPr>
              <w:t>}</w:t>
            </w:r>
          </w:p>
        </w:tc>
        <w:tc>
          <w:tcPr>
            <w:tcW w:w="5431" w:type="dxa"/>
          </w:tcPr>
          <w:p w14:paraId="33AB09A7" w14:textId="77777777" w:rsidR="00B1206C" w:rsidRPr="00B1206C" w:rsidRDefault="00B1206C" w:rsidP="00B1206C">
            <w:pPr>
              <w:jc w:val="right"/>
              <w:rPr>
                <w:rFonts w:ascii="Arial" w:hAnsi="Arial" w:cs="Arial"/>
                <w:b/>
                <w:bCs/>
                <w:sz w:val="16"/>
                <w:szCs w:val="16"/>
              </w:rPr>
            </w:pPr>
            <w:r w:rsidRPr="00B1206C">
              <w:rPr>
                <w:rFonts w:ascii="Arial" w:hAnsi="Arial" w:cs="Arial"/>
                <w:b/>
                <w:bCs/>
                <w:sz w:val="16"/>
                <w:szCs w:val="16"/>
              </w:rPr>
              <w:t>Filed Pursuant to Rule 433</w:t>
            </w:r>
          </w:p>
          <w:p w14:paraId="2598EED3" w14:textId="77777777" w:rsidR="00B1206C" w:rsidRPr="00B1206C" w:rsidRDefault="00B1206C" w:rsidP="00B1206C">
            <w:pPr>
              <w:jc w:val="right"/>
              <w:rPr>
                <w:rFonts w:ascii="Arial" w:hAnsi="Arial" w:cs="Arial"/>
                <w:b/>
                <w:bCs/>
                <w:sz w:val="16"/>
                <w:szCs w:val="16"/>
              </w:rPr>
            </w:pPr>
            <w:r w:rsidRPr="00B1206C">
              <w:rPr>
                <w:rFonts w:ascii="Arial" w:hAnsi="Arial" w:cs="Arial"/>
                <w:b/>
                <w:bCs/>
                <w:sz w:val="16"/>
                <w:szCs w:val="16"/>
              </w:rPr>
              <w:t>Registration Statement No. 333-282565</w:t>
            </w:r>
          </w:p>
          <w:p w14:paraId="112B3D1B" w14:textId="77777777" w:rsidR="00B1206C" w:rsidRPr="00B1206C" w:rsidRDefault="00B1206C" w:rsidP="00B1206C">
            <w:pPr>
              <w:jc w:val="right"/>
              <w:rPr>
                <w:rFonts w:ascii="Arial" w:hAnsi="Arial" w:cs="Arial"/>
                <w:b/>
                <w:bCs/>
                <w:sz w:val="16"/>
                <w:szCs w:val="16"/>
              </w:rPr>
            </w:pPr>
            <w:r w:rsidRPr="00B1206C">
              <w:rPr>
                <w:rFonts w:ascii="Arial" w:hAnsi="Arial" w:cs="Arial"/>
                <w:b/>
                <w:bCs/>
                <w:sz w:val="16"/>
                <w:szCs w:val="16"/>
              </w:rPr>
              <w:t>(To Prospectus dated November 8, 2024,</w:t>
            </w:r>
          </w:p>
          <w:p w14:paraId="585A74FB" w14:textId="77777777" w:rsidR="00B1206C" w:rsidRPr="00B1206C" w:rsidRDefault="00B1206C" w:rsidP="00B1206C">
            <w:pPr>
              <w:jc w:val="right"/>
              <w:rPr>
                <w:rFonts w:ascii="Arial" w:hAnsi="Arial" w:cs="Arial"/>
                <w:b/>
                <w:bCs/>
                <w:sz w:val="16"/>
                <w:szCs w:val="16"/>
              </w:rPr>
            </w:pPr>
            <w:r w:rsidRPr="00B1206C">
              <w:rPr>
                <w:rFonts w:ascii="Arial" w:hAnsi="Arial" w:cs="Arial"/>
                <w:b/>
                <w:bCs/>
                <w:sz w:val="16"/>
                <w:szCs w:val="16"/>
              </w:rPr>
              <w:t>Prospectus Supplement dated November 8, 2024</w:t>
            </w:r>
          </w:p>
          <w:p w14:paraId="491256F0" w14:textId="564457E4" w:rsidR="00B1206C" w:rsidRPr="00B1206C" w:rsidRDefault="00B1206C" w:rsidP="00B1206C">
            <w:pPr>
              <w:jc w:val="right"/>
              <w:rPr>
                <w:rFonts w:ascii="Arial" w:hAnsi="Arial" w:cs="Arial"/>
                <w:b/>
                <w:bCs/>
                <w:sz w:val="16"/>
                <w:szCs w:val="16"/>
              </w:rPr>
            </w:pPr>
            <w:r w:rsidRPr="00B1206C">
              <w:rPr>
                <w:rFonts w:ascii="Arial" w:hAnsi="Arial" w:cs="Arial"/>
                <w:b/>
                <w:bCs/>
                <w:sz w:val="16"/>
                <w:szCs w:val="16"/>
              </w:rPr>
              <w:t>and Product Supplement EQUITY LIRN-1 dated November 8, 2024)</w:t>
            </w:r>
          </w:p>
        </w:tc>
      </w:tr>
    </w:tbl>
    <w:p w14:paraId="34C6D4B5" w14:textId="77777777" w:rsidR="00B1206C" w:rsidRPr="00B1206C" w:rsidRDefault="00B1206C" w:rsidP="00B1206C">
      <w:pPr>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2"/>
        <w:gridCol w:w="2916"/>
        <w:gridCol w:w="2680"/>
        <w:gridCol w:w="2908"/>
      </w:tblGrid>
      <w:tr w:rsidR="000952C3" w:rsidRPr="00B1206C" w14:paraId="51C77859" w14:textId="77777777" w:rsidTr="000952C3">
        <w:tc>
          <w:tcPr>
            <w:tcW w:w="2862" w:type="dxa"/>
            <w:shd w:val="clear" w:color="auto" w:fill="1F497D"/>
          </w:tcPr>
          <w:p w14:paraId="23B9FA42" w14:textId="77777777" w:rsidR="00B1206C" w:rsidRPr="00B1206C" w:rsidRDefault="00B1206C" w:rsidP="00B1206C">
            <w:pPr>
              <w:rPr>
                <w:rFonts w:ascii="Arial" w:hAnsi="Arial" w:cs="Arial"/>
                <w:color w:val="FFFFFF" w:themeColor="background1"/>
                <w:sz w:val="16"/>
                <w:szCs w:val="16"/>
              </w:rPr>
            </w:pPr>
            <w:r w:rsidRPr="00B1206C">
              <w:rPr>
                <w:rFonts w:ascii="Arial" w:hAnsi="Arial" w:cs="Arial"/>
                <w:color w:val="FFFFFF" w:themeColor="background1"/>
                <w:sz w:val="16"/>
                <w:szCs w:val="16"/>
              </w:rPr>
              <w:t>    Units</w:t>
            </w:r>
            <w:r w:rsidRPr="00B1206C">
              <w:rPr>
                <w:rFonts w:ascii="Arial" w:hAnsi="Arial" w:cs="Arial"/>
                <w:color w:val="FFFFFF" w:themeColor="background1"/>
                <w:sz w:val="16"/>
                <w:szCs w:val="16"/>
              </w:rPr>
              <w:br/>
              <w:t>$10 principal amount per unit</w:t>
            </w:r>
            <w:r w:rsidRPr="00B1206C">
              <w:rPr>
                <w:rFonts w:ascii="Arial" w:hAnsi="Arial" w:cs="Arial"/>
                <w:color w:val="FFFFFF" w:themeColor="background1"/>
                <w:sz w:val="16"/>
                <w:szCs w:val="16"/>
              </w:rPr>
              <w:br/>
              <w:t>CUSIP No.</w:t>
            </w:r>
          </w:p>
        </w:tc>
        <w:tc>
          <w:tcPr>
            <w:tcW w:w="2916" w:type="dxa"/>
            <w:shd w:val="clear" w:color="auto" w:fill="1F497D"/>
          </w:tcPr>
          <w:p w14:paraId="30C27059" w14:textId="3C3405F3" w:rsidR="00B1206C" w:rsidRPr="00B1206C" w:rsidRDefault="00B1206C" w:rsidP="00B1206C">
            <w:pPr>
              <w:rPr>
                <w:rFonts w:ascii="Arial" w:hAnsi="Arial" w:cs="Arial"/>
                <w:color w:val="FFFFFF" w:themeColor="background1"/>
                <w:sz w:val="16"/>
                <w:szCs w:val="16"/>
              </w:rPr>
            </w:pPr>
          </w:p>
        </w:tc>
        <w:tc>
          <w:tcPr>
            <w:tcW w:w="2680" w:type="dxa"/>
            <w:shd w:val="clear" w:color="auto" w:fill="1F497D"/>
          </w:tcPr>
          <w:p w14:paraId="24CC7C4B" w14:textId="167C23C4" w:rsidR="00B1206C" w:rsidRPr="00B1206C" w:rsidRDefault="00B1206C" w:rsidP="00B1206C">
            <w:pPr>
              <w:rPr>
                <w:rFonts w:ascii="Arial" w:hAnsi="Arial" w:cs="Arial"/>
                <w:color w:val="FFFFFF" w:themeColor="background1"/>
                <w:sz w:val="16"/>
                <w:szCs w:val="16"/>
              </w:rPr>
            </w:pPr>
            <w:r w:rsidRPr="00B1206C">
              <w:rPr>
                <w:rFonts w:ascii="Arial" w:hAnsi="Arial" w:cs="Arial"/>
                <w:color w:val="FFFFFF" w:themeColor="background1"/>
                <w:sz w:val="16"/>
                <w:szCs w:val="16"/>
              </w:rPr>
              <w:t>Pricing Date*</w:t>
            </w:r>
            <w:r w:rsidRPr="00B1206C">
              <w:rPr>
                <w:rFonts w:ascii="Arial" w:hAnsi="Arial" w:cs="Arial"/>
                <w:color w:val="FFFFFF" w:themeColor="background1"/>
                <w:sz w:val="16"/>
                <w:szCs w:val="16"/>
              </w:rPr>
              <w:br/>
              <w:t>Settlement Date*</w:t>
            </w:r>
            <w:r w:rsidRPr="00B1206C">
              <w:rPr>
                <w:rFonts w:ascii="Arial" w:hAnsi="Arial" w:cs="Arial"/>
                <w:color w:val="FFFFFF" w:themeColor="background1"/>
                <w:sz w:val="16"/>
                <w:szCs w:val="16"/>
              </w:rPr>
              <w:br/>
              <w:t>Maturity Date*</w:t>
            </w:r>
          </w:p>
        </w:tc>
        <w:tc>
          <w:tcPr>
            <w:tcW w:w="2908" w:type="dxa"/>
            <w:shd w:val="clear" w:color="auto" w:fill="1F497D"/>
          </w:tcPr>
          <w:p w14:paraId="2E5CCCEA" w14:textId="7921E7F4" w:rsidR="00B1206C" w:rsidRPr="00B1206C" w:rsidRDefault="00B1206C" w:rsidP="00B1206C">
            <w:pPr>
              <w:jc w:val="right"/>
              <w:rPr>
                <w:rFonts w:ascii="Arial" w:hAnsi="Arial" w:cs="Arial"/>
                <w:color w:val="FFFFFF" w:themeColor="background1"/>
                <w:sz w:val="16"/>
                <w:szCs w:val="16"/>
              </w:rPr>
            </w:pPr>
            <w:proofErr w:type="gramStart"/>
            <w:r w:rsidRPr="00B1206C">
              <w:rPr>
                <w:rFonts w:ascii="Arial" w:hAnsi="Arial" w:cs="Arial"/>
                <w:color w:val="FFFFFF" w:themeColor="background1"/>
                <w:sz w:val="16"/>
                <w:szCs w:val="16"/>
              </w:rPr>
              <w:t>December ,</w:t>
            </w:r>
            <w:proofErr w:type="gramEnd"/>
            <w:r w:rsidRPr="00B1206C">
              <w:rPr>
                <w:rFonts w:ascii="Arial" w:hAnsi="Arial" w:cs="Arial"/>
                <w:color w:val="FFFFFF" w:themeColor="background1"/>
                <w:sz w:val="16"/>
                <w:szCs w:val="16"/>
              </w:rPr>
              <w:t xml:space="preserve"> 2024</w:t>
            </w:r>
          </w:p>
          <w:p w14:paraId="392E0AE5" w14:textId="77777777" w:rsidR="00B1206C" w:rsidRPr="00B1206C" w:rsidRDefault="00B1206C" w:rsidP="00B1206C">
            <w:pPr>
              <w:jc w:val="right"/>
              <w:rPr>
                <w:rFonts w:ascii="Arial" w:hAnsi="Arial" w:cs="Arial"/>
                <w:color w:val="FFFFFF" w:themeColor="background1"/>
                <w:sz w:val="16"/>
                <w:szCs w:val="16"/>
              </w:rPr>
            </w:pPr>
            <w:proofErr w:type="gramStart"/>
            <w:r w:rsidRPr="00B1206C">
              <w:rPr>
                <w:rFonts w:ascii="Arial" w:hAnsi="Arial" w:cs="Arial"/>
                <w:color w:val="FFFFFF" w:themeColor="background1"/>
                <w:sz w:val="16"/>
                <w:szCs w:val="16"/>
              </w:rPr>
              <w:t>December ,</w:t>
            </w:r>
            <w:proofErr w:type="gramEnd"/>
            <w:r w:rsidRPr="00B1206C">
              <w:rPr>
                <w:rFonts w:ascii="Arial" w:hAnsi="Arial" w:cs="Arial"/>
                <w:color w:val="FFFFFF" w:themeColor="background1"/>
                <w:sz w:val="16"/>
                <w:szCs w:val="16"/>
              </w:rPr>
              <w:t xml:space="preserve"> 2024</w:t>
            </w:r>
          </w:p>
          <w:p w14:paraId="3664BD85" w14:textId="77777777" w:rsidR="00B1206C" w:rsidRPr="00B1206C" w:rsidRDefault="00B1206C" w:rsidP="00B1206C">
            <w:pPr>
              <w:jc w:val="right"/>
              <w:rPr>
                <w:rFonts w:ascii="Arial" w:hAnsi="Arial" w:cs="Arial"/>
                <w:color w:val="FFFFFF" w:themeColor="background1"/>
                <w:sz w:val="16"/>
                <w:szCs w:val="16"/>
              </w:rPr>
            </w:pPr>
            <w:proofErr w:type="gramStart"/>
            <w:r w:rsidRPr="00B1206C">
              <w:rPr>
                <w:rFonts w:ascii="Arial" w:hAnsi="Arial" w:cs="Arial"/>
                <w:color w:val="FFFFFF" w:themeColor="background1"/>
                <w:sz w:val="16"/>
                <w:szCs w:val="16"/>
              </w:rPr>
              <w:t>December ,</w:t>
            </w:r>
            <w:proofErr w:type="gramEnd"/>
            <w:r w:rsidRPr="00B1206C">
              <w:rPr>
                <w:rFonts w:ascii="Arial" w:hAnsi="Arial" w:cs="Arial"/>
                <w:color w:val="FFFFFF" w:themeColor="background1"/>
                <w:sz w:val="16"/>
                <w:szCs w:val="16"/>
              </w:rPr>
              <w:t xml:space="preserve"> 2027</w:t>
            </w:r>
          </w:p>
        </w:tc>
      </w:tr>
      <w:tr w:rsidR="000952C3" w:rsidRPr="00B1206C" w14:paraId="18026BA7" w14:textId="77777777" w:rsidTr="000952C3">
        <w:tc>
          <w:tcPr>
            <w:tcW w:w="5778" w:type="dxa"/>
            <w:gridSpan w:val="2"/>
            <w:shd w:val="clear" w:color="auto" w:fill="1F497D"/>
          </w:tcPr>
          <w:p w14:paraId="5936A2C8" w14:textId="2C1A9658" w:rsidR="000952C3" w:rsidRPr="000952C3" w:rsidRDefault="000952C3" w:rsidP="00B1206C">
            <w:pPr>
              <w:rPr>
                <w:rFonts w:ascii="Arial" w:hAnsi="Arial" w:cs="Arial"/>
                <w:color w:val="FFFFFF" w:themeColor="background1"/>
                <w:sz w:val="16"/>
                <w:szCs w:val="16"/>
              </w:rPr>
            </w:pPr>
            <w:r>
              <w:rPr>
                <w:rFonts w:ascii="Arial" w:hAnsi="Arial" w:cs="Arial"/>
                <w:noProof/>
                <w:color w:val="FFFFFF" w:themeColor="background1"/>
                <w:sz w:val="16"/>
                <w:szCs w:val="16"/>
              </w:rPr>
              <w:drawing>
                <wp:inline distT="0" distB="0" distL="0" distR="0" wp14:anchorId="04664F4C" wp14:editId="22618F04">
                  <wp:extent cx="2645422" cy="385762"/>
                  <wp:effectExtent l="0" t="0" r="2540" b="0"/>
                  <wp:docPr id="18594190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5596" cy="417868"/>
                          </a:xfrm>
                          <a:prstGeom prst="rect">
                            <a:avLst/>
                          </a:prstGeom>
                          <a:noFill/>
                          <a:ln>
                            <a:noFill/>
                          </a:ln>
                        </pic:spPr>
                      </pic:pic>
                    </a:graphicData>
                  </a:graphic>
                </wp:inline>
              </w:drawing>
            </w:r>
          </w:p>
        </w:tc>
        <w:tc>
          <w:tcPr>
            <w:tcW w:w="5588" w:type="dxa"/>
            <w:gridSpan w:val="2"/>
            <w:shd w:val="clear" w:color="auto" w:fill="1F497D"/>
          </w:tcPr>
          <w:p w14:paraId="200FC4ED" w14:textId="139D4C20" w:rsidR="000952C3" w:rsidRPr="000952C3" w:rsidRDefault="000952C3" w:rsidP="00B1206C">
            <w:pPr>
              <w:rPr>
                <w:rFonts w:ascii="Arial" w:hAnsi="Arial" w:cs="Arial"/>
                <w:color w:val="FFFFFF" w:themeColor="background1"/>
                <w:sz w:val="16"/>
                <w:szCs w:val="16"/>
              </w:rPr>
            </w:pPr>
            <w:r w:rsidRPr="000952C3">
              <w:rPr>
                <w:rFonts w:ascii="Arial" w:hAnsi="Arial" w:cs="Arial"/>
                <w:color w:val="FFFFFF" w:themeColor="background1"/>
                <w:sz w:val="16"/>
                <w:szCs w:val="16"/>
              </w:rPr>
              <w:t>*Subject to change based on the actual date the notes are priced for initial sale to the public (the “pricing date”)</w:t>
            </w:r>
          </w:p>
        </w:tc>
      </w:tr>
      <w:tr w:rsidR="000952C3" w:rsidRPr="00B1206C" w14:paraId="3E171E14" w14:textId="77777777" w:rsidTr="000952C3">
        <w:tc>
          <w:tcPr>
            <w:tcW w:w="2862" w:type="dxa"/>
            <w:shd w:val="clear" w:color="auto" w:fill="1F497D"/>
          </w:tcPr>
          <w:p w14:paraId="2FE897F2" w14:textId="77777777" w:rsidR="00B1206C" w:rsidRPr="00B1206C" w:rsidRDefault="00B1206C" w:rsidP="00B1206C">
            <w:pPr>
              <w:rPr>
                <w:rFonts w:ascii="Arial" w:hAnsi="Arial" w:cs="Arial"/>
                <w:sz w:val="16"/>
                <w:szCs w:val="16"/>
              </w:rPr>
            </w:pPr>
          </w:p>
        </w:tc>
        <w:tc>
          <w:tcPr>
            <w:tcW w:w="2916" w:type="dxa"/>
            <w:shd w:val="clear" w:color="auto" w:fill="1F497D"/>
          </w:tcPr>
          <w:p w14:paraId="0919F430" w14:textId="77777777" w:rsidR="00B1206C" w:rsidRPr="00B1206C" w:rsidRDefault="00B1206C" w:rsidP="00B1206C">
            <w:pPr>
              <w:rPr>
                <w:rFonts w:ascii="Arial" w:hAnsi="Arial" w:cs="Arial"/>
                <w:sz w:val="16"/>
                <w:szCs w:val="16"/>
              </w:rPr>
            </w:pPr>
          </w:p>
        </w:tc>
        <w:tc>
          <w:tcPr>
            <w:tcW w:w="2680" w:type="dxa"/>
            <w:shd w:val="clear" w:color="auto" w:fill="1F497D"/>
          </w:tcPr>
          <w:p w14:paraId="432AAE75" w14:textId="77777777" w:rsidR="00B1206C" w:rsidRPr="00B1206C" w:rsidRDefault="00B1206C" w:rsidP="00B1206C">
            <w:pPr>
              <w:rPr>
                <w:rFonts w:ascii="Arial" w:hAnsi="Arial" w:cs="Arial"/>
                <w:sz w:val="16"/>
                <w:szCs w:val="16"/>
              </w:rPr>
            </w:pPr>
          </w:p>
        </w:tc>
        <w:tc>
          <w:tcPr>
            <w:tcW w:w="2908" w:type="dxa"/>
            <w:shd w:val="clear" w:color="auto" w:fill="1F497D"/>
          </w:tcPr>
          <w:p w14:paraId="43B97DAD" w14:textId="0404B1EE" w:rsidR="00B1206C" w:rsidRPr="00B1206C" w:rsidRDefault="00B1206C" w:rsidP="00B1206C">
            <w:pPr>
              <w:rPr>
                <w:rFonts w:ascii="Arial" w:hAnsi="Arial" w:cs="Arial"/>
                <w:sz w:val="16"/>
                <w:szCs w:val="16"/>
              </w:rPr>
            </w:pPr>
          </w:p>
        </w:tc>
      </w:tr>
      <w:tr w:rsidR="000952C3" w:rsidRPr="00B1206C" w14:paraId="5DCC59BF" w14:textId="77777777" w:rsidTr="000952C3">
        <w:tc>
          <w:tcPr>
            <w:tcW w:w="2862" w:type="dxa"/>
            <w:shd w:val="clear" w:color="auto" w:fill="046E87"/>
          </w:tcPr>
          <w:p w14:paraId="17E9C301" w14:textId="77777777" w:rsidR="00B1206C" w:rsidRPr="00B1206C" w:rsidRDefault="00B1206C" w:rsidP="00B1206C">
            <w:pPr>
              <w:rPr>
                <w:rFonts w:ascii="Arial" w:hAnsi="Arial" w:cs="Arial"/>
                <w:sz w:val="16"/>
                <w:szCs w:val="16"/>
              </w:rPr>
            </w:pPr>
          </w:p>
        </w:tc>
        <w:tc>
          <w:tcPr>
            <w:tcW w:w="2916" w:type="dxa"/>
            <w:shd w:val="clear" w:color="auto" w:fill="C87D0E"/>
          </w:tcPr>
          <w:p w14:paraId="7DEAB9C1" w14:textId="77777777" w:rsidR="00B1206C" w:rsidRPr="00B1206C" w:rsidRDefault="00B1206C" w:rsidP="00B1206C">
            <w:pPr>
              <w:rPr>
                <w:rFonts w:ascii="Arial" w:hAnsi="Arial" w:cs="Arial"/>
                <w:sz w:val="16"/>
                <w:szCs w:val="16"/>
              </w:rPr>
            </w:pPr>
          </w:p>
        </w:tc>
        <w:tc>
          <w:tcPr>
            <w:tcW w:w="2680" w:type="dxa"/>
            <w:shd w:val="clear" w:color="auto" w:fill="5C255C"/>
          </w:tcPr>
          <w:p w14:paraId="0A85642D" w14:textId="77777777" w:rsidR="00B1206C" w:rsidRPr="00B1206C" w:rsidRDefault="00B1206C" w:rsidP="00B1206C">
            <w:pPr>
              <w:rPr>
                <w:rFonts w:ascii="Arial" w:hAnsi="Arial" w:cs="Arial"/>
                <w:sz w:val="16"/>
                <w:szCs w:val="16"/>
              </w:rPr>
            </w:pPr>
          </w:p>
        </w:tc>
        <w:tc>
          <w:tcPr>
            <w:tcW w:w="2908" w:type="dxa"/>
            <w:shd w:val="clear" w:color="auto" w:fill="61961A"/>
          </w:tcPr>
          <w:p w14:paraId="30E50A64" w14:textId="5773A4C8" w:rsidR="00B1206C" w:rsidRPr="00B1206C" w:rsidRDefault="00B1206C" w:rsidP="00B1206C">
            <w:pPr>
              <w:rPr>
                <w:rFonts w:ascii="Arial" w:hAnsi="Arial" w:cs="Arial"/>
                <w:sz w:val="16"/>
                <w:szCs w:val="16"/>
              </w:rPr>
            </w:pPr>
          </w:p>
        </w:tc>
      </w:tr>
      <w:tr w:rsidR="000952C3" w:rsidRPr="00B1206C" w14:paraId="186626FE" w14:textId="77777777" w:rsidTr="000952C3">
        <w:tc>
          <w:tcPr>
            <w:tcW w:w="2862" w:type="dxa"/>
            <w:shd w:val="clear" w:color="auto" w:fill="1F497D"/>
          </w:tcPr>
          <w:p w14:paraId="039BCFCE" w14:textId="77777777" w:rsidR="00B1206C" w:rsidRPr="00B1206C" w:rsidRDefault="00B1206C" w:rsidP="00B1206C">
            <w:pPr>
              <w:rPr>
                <w:rFonts w:ascii="Arial" w:hAnsi="Arial" w:cs="Arial"/>
                <w:sz w:val="16"/>
                <w:szCs w:val="16"/>
              </w:rPr>
            </w:pPr>
          </w:p>
        </w:tc>
        <w:tc>
          <w:tcPr>
            <w:tcW w:w="2916" w:type="dxa"/>
            <w:shd w:val="clear" w:color="auto" w:fill="1F497D"/>
          </w:tcPr>
          <w:p w14:paraId="0B7FB608" w14:textId="77777777" w:rsidR="00B1206C" w:rsidRPr="00B1206C" w:rsidRDefault="00B1206C" w:rsidP="00B1206C">
            <w:pPr>
              <w:rPr>
                <w:rFonts w:ascii="Arial" w:hAnsi="Arial" w:cs="Arial"/>
                <w:sz w:val="16"/>
                <w:szCs w:val="16"/>
              </w:rPr>
            </w:pPr>
          </w:p>
        </w:tc>
        <w:tc>
          <w:tcPr>
            <w:tcW w:w="2680" w:type="dxa"/>
            <w:shd w:val="clear" w:color="auto" w:fill="1F497D"/>
          </w:tcPr>
          <w:p w14:paraId="2E77F6FB" w14:textId="77777777" w:rsidR="00B1206C" w:rsidRPr="00B1206C" w:rsidRDefault="00B1206C" w:rsidP="00B1206C">
            <w:pPr>
              <w:rPr>
                <w:rFonts w:ascii="Arial" w:hAnsi="Arial" w:cs="Arial"/>
                <w:sz w:val="16"/>
                <w:szCs w:val="16"/>
              </w:rPr>
            </w:pPr>
          </w:p>
        </w:tc>
        <w:tc>
          <w:tcPr>
            <w:tcW w:w="2908" w:type="dxa"/>
            <w:shd w:val="clear" w:color="auto" w:fill="1F497D"/>
          </w:tcPr>
          <w:p w14:paraId="3D76FA1E" w14:textId="3A60CBD1" w:rsidR="00B1206C" w:rsidRPr="00B1206C" w:rsidRDefault="00B1206C" w:rsidP="00B1206C">
            <w:pPr>
              <w:rPr>
                <w:rFonts w:ascii="Arial" w:hAnsi="Arial" w:cs="Arial"/>
                <w:sz w:val="16"/>
                <w:szCs w:val="16"/>
              </w:rPr>
            </w:pPr>
          </w:p>
        </w:tc>
      </w:tr>
      <w:tr w:rsidR="000952C3" w:rsidRPr="00B1206C" w14:paraId="49A52DB3" w14:textId="77777777" w:rsidTr="00A14754">
        <w:tc>
          <w:tcPr>
            <w:tcW w:w="11366" w:type="dxa"/>
            <w:gridSpan w:val="4"/>
            <w:shd w:val="clear" w:color="auto" w:fill="1F497D"/>
          </w:tcPr>
          <w:p w14:paraId="1AC19733" w14:textId="77777777" w:rsidR="00BC6A1E" w:rsidRDefault="000952C3" w:rsidP="00B1206C">
            <w:pPr>
              <w:rPr>
                <w:rFonts w:ascii="Arial" w:hAnsi="Arial" w:cs="Arial"/>
                <w:b/>
                <w:bCs/>
                <w:color w:val="FFFFFF" w:themeColor="background1"/>
                <w:sz w:val="40"/>
                <w:szCs w:val="40"/>
                <w:vertAlign w:val="superscript"/>
              </w:rPr>
            </w:pPr>
            <w:proofErr w:type="spellStart"/>
            <w:r w:rsidRPr="000952C3">
              <w:rPr>
                <w:rFonts w:ascii="Arial" w:hAnsi="Arial" w:cs="Arial"/>
                <w:b/>
                <w:bCs/>
                <w:color w:val="FFFFFF" w:themeColor="background1"/>
                <w:sz w:val="40"/>
                <w:szCs w:val="40"/>
              </w:rPr>
              <w:t>Autocallable</w:t>
            </w:r>
            <w:proofErr w:type="spellEnd"/>
            <w:r w:rsidRPr="000952C3">
              <w:rPr>
                <w:rFonts w:ascii="Arial" w:hAnsi="Arial" w:cs="Arial"/>
                <w:b/>
                <w:bCs/>
                <w:color w:val="FFFFFF" w:themeColor="background1"/>
                <w:sz w:val="40"/>
                <w:szCs w:val="40"/>
              </w:rPr>
              <w:t xml:space="preserve"> Leveraged Index Return Notes</w:t>
            </w:r>
            <w:r w:rsidRPr="000952C3">
              <w:rPr>
                <w:rFonts w:ascii="Arial" w:hAnsi="Arial" w:cs="Arial"/>
                <w:b/>
                <w:bCs/>
                <w:color w:val="FFFFFF" w:themeColor="background1"/>
                <w:sz w:val="40"/>
                <w:szCs w:val="40"/>
                <w:vertAlign w:val="superscript"/>
              </w:rPr>
              <w:t>®</w:t>
            </w:r>
          </w:p>
          <w:p w14:paraId="126F0F28" w14:textId="19C25A38" w:rsidR="000952C3" w:rsidRPr="000952C3" w:rsidRDefault="000952C3" w:rsidP="00B1206C">
            <w:pPr>
              <w:rPr>
                <w:rFonts w:ascii="Arial" w:hAnsi="Arial" w:cs="Arial"/>
                <w:color w:val="FFFFFF" w:themeColor="background1"/>
                <w:sz w:val="40"/>
                <w:szCs w:val="40"/>
              </w:rPr>
            </w:pPr>
            <w:r w:rsidRPr="000952C3">
              <w:rPr>
                <w:rFonts w:ascii="Arial" w:hAnsi="Arial" w:cs="Arial"/>
                <w:b/>
                <w:bCs/>
                <w:color w:val="FFFFFF" w:themeColor="background1"/>
                <w:sz w:val="40"/>
                <w:szCs w:val="40"/>
              </w:rPr>
              <w:t xml:space="preserve">Linked to the </w:t>
            </w:r>
            <w:r w:rsidR="00682C00" w:rsidRPr="00682C00">
              <w:rPr>
                <w:rFonts w:ascii="Arial" w:hAnsi="Arial" w:cs="Arial"/>
                <w:b/>
                <w:bCs/>
                <w:color w:val="FFFFFF" w:themeColor="background1"/>
                <w:sz w:val="40"/>
                <w:szCs w:val="40"/>
              </w:rPr>
              <w:t>{</w:t>
            </w:r>
            <w:proofErr w:type="spellStart"/>
            <w:r w:rsidR="00682C00" w:rsidRPr="00682C00">
              <w:rPr>
                <w:rFonts w:ascii="Arial" w:hAnsi="Arial" w:cs="Arial"/>
                <w:b/>
                <w:bCs/>
                <w:color w:val="FFFFFF" w:themeColor="background1"/>
                <w:sz w:val="40"/>
                <w:szCs w:val="40"/>
              </w:rPr>
              <w:t>underlierName</w:t>
            </w:r>
            <w:proofErr w:type="spellEnd"/>
            <w:r w:rsidR="00682C00" w:rsidRPr="00682C00">
              <w:rPr>
                <w:rFonts w:ascii="Arial" w:hAnsi="Arial" w:cs="Arial"/>
                <w:b/>
                <w:bCs/>
                <w:color w:val="FFFFFF" w:themeColor="background1"/>
                <w:sz w:val="40"/>
                <w:szCs w:val="40"/>
              </w:rPr>
              <w:t>}</w:t>
            </w:r>
          </w:p>
        </w:tc>
      </w:tr>
      <w:tr w:rsidR="00BC6A1E" w:rsidRPr="00B1206C" w14:paraId="0114EB5F" w14:textId="77777777" w:rsidTr="00564626">
        <w:tc>
          <w:tcPr>
            <w:tcW w:w="11366" w:type="dxa"/>
            <w:gridSpan w:val="4"/>
            <w:shd w:val="clear" w:color="auto" w:fill="1F497D"/>
          </w:tcPr>
          <w:p w14:paraId="534B6DAD" w14:textId="3C7F8DBF" w:rsidR="00E155E9" w:rsidRPr="00E155E9" w:rsidRDefault="00BC6A1E" w:rsidP="00E155E9">
            <w:pPr>
              <w:pStyle w:val="ListParagraph"/>
              <w:numPr>
                <w:ilvl w:val="0"/>
                <w:numId w:val="2"/>
              </w:numPr>
              <w:spacing w:before="120" w:after="120"/>
              <w:ind w:left="341" w:hanging="346"/>
              <w:contextualSpacing w:val="0"/>
              <w:rPr>
                <w:rFonts w:ascii="Arial" w:hAnsi="Arial" w:cs="Arial"/>
                <w:color w:val="FFFFFF" w:themeColor="background1"/>
                <w:sz w:val="16"/>
                <w:szCs w:val="16"/>
              </w:rPr>
            </w:pPr>
            <w:r w:rsidRPr="00BC6A1E">
              <w:rPr>
                <w:rFonts w:ascii="Arial" w:hAnsi="Arial" w:cs="Arial"/>
                <w:color w:val="FFFFFF" w:themeColor="background1"/>
                <w:sz w:val="16"/>
                <w:szCs w:val="16"/>
              </w:rPr>
              <w:t>Maturity of approximately 3 years, if not called prior to maturity</w:t>
            </w:r>
          </w:p>
          <w:p w14:paraId="19051DB9" w14:textId="71E46663" w:rsidR="00BC6A1E" w:rsidRPr="00BC6A1E" w:rsidRDefault="00BC6A1E" w:rsidP="00E155E9">
            <w:pPr>
              <w:pStyle w:val="ListParagraph"/>
              <w:numPr>
                <w:ilvl w:val="0"/>
                <w:numId w:val="2"/>
              </w:numPr>
              <w:spacing w:before="120" w:after="120"/>
              <w:ind w:left="341" w:hanging="346"/>
              <w:contextualSpacing w:val="0"/>
              <w:rPr>
                <w:rFonts w:ascii="Arial" w:hAnsi="Arial" w:cs="Arial"/>
                <w:color w:val="FFFFFF" w:themeColor="background1"/>
                <w:sz w:val="16"/>
                <w:szCs w:val="16"/>
              </w:rPr>
            </w:pPr>
            <w:r w:rsidRPr="00BC6A1E">
              <w:rPr>
                <w:rFonts w:ascii="Arial" w:hAnsi="Arial" w:cs="Arial"/>
                <w:color w:val="FFFFFF" w:themeColor="background1"/>
                <w:sz w:val="16"/>
                <w:szCs w:val="16"/>
              </w:rPr>
              <w:t>Automatic call of the notes per unit at $11.00 if the Index is flat or increases above 100.00% of the Starting Value on the Observation Date</w:t>
            </w:r>
          </w:p>
          <w:p w14:paraId="74520737" w14:textId="6238DC39" w:rsidR="00BC6A1E" w:rsidRPr="00BC6A1E" w:rsidRDefault="00BC6A1E" w:rsidP="00E155E9">
            <w:pPr>
              <w:pStyle w:val="ListParagraph"/>
              <w:numPr>
                <w:ilvl w:val="0"/>
                <w:numId w:val="2"/>
              </w:numPr>
              <w:spacing w:before="120" w:after="120"/>
              <w:ind w:left="341" w:hanging="346"/>
              <w:contextualSpacing w:val="0"/>
              <w:rPr>
                <w:rFonts w:ascii="Arial" w:hAnsi="Arial" w:cs="Arial"/>
                <w:color w:val="FFFFFF" w:themeColor="background1"/>
                <w:sz w:val="16"/>
                <w:szCs w:val="16"/>
              </w:rPr>
            </w:pPr>
            <w:r w:rsidRPr="00BC6A1E">
              <w:rPr>
                <w:rFonts w:ascii="Arial" w:hAnsi="Arial" w:cs="Arial"/>
                <w:color w:val="FFFFFF" w:themeColor="background1"/>
                <w:sz w:val="16"/>
                <w:szCs w:val="16"/>
              </w:rPr>
              <w:t>The Observation Date will occur approximately one year after the pricing date</w:t>
            </w:r>
          </w:p>
          <w:p w14:paraId="09EBADFD" w14:textId="3A656514" w:rsidR="00BC6A1E" w:rsidRPr="00BC6A1E" w:rsidRDefault="00BC6A1E" w:rsidP="00E155E9">
            <w:pPr>
              <w:pStyle w:val="ListParagraph"/>
              <w:numPr>
                <w:ilvl w:val="0"/>
                <w:numId w:val="2"/>
              </w:numPr>
              <w:spacing w:before="120" w:after="120"/>
              <w:ind w:left="341" w:hanging="346"/>
              <w:contextualSpacing w:val="0"/>
              <w:rPr>
                <w:rFonts w:ascii="Arial" w:hAnsi="Arial" w:cs="Arial"/>
                <w:color w:val="FFFFFF" w:themeColor="background1"/>
                <w:sz w:val="16"/>
                <w:szCs w:val="16"/>
              </w:rPr>
            </w:pPr>
            <w:r w:rsidRPr="00BC6A1E">
              <w:rPr>
                <w:rFonts w:ascii="Arial" w:hAnsi="Arial" w:cs="Arial"/>
                <w:color w:val="FFFFFF" w:themeColor="background1"/>
                <w:sz w:val="16"/>
                <w:szCs w:val="16"/>
              </w:rPr>
              <w:t>If the notes are not called, at maturity:</w:t>
            </w:r>
          </w:p>
          <w:p w14:paraId="317E70B1" w14:textId="1C2705E5" w:rsidR="00BC6A1E" w:rsidRPr="00BC6A1E" w:rsidRDefault="00BC6A1E" w:rsidP="00E155E9">
            <w:pPr>
              <w:pStyle w:val="ListParagraph"/>
              <w:numPr>
                <w:ilvl w:val="0"/>
                <w:numId w:val="2"/>
              </w:numPr>
              <w:spacing w:before="120" w:after="120"/>
              <w:ind w:left="701" w:hanging="346"/>
              <w:contextualSpacing w:val="0"/>
              <w:rPr>
                <w:rFonts w:ascii="Arial" w:hAnsi="Arial" w:cs="Arial"/>
                <w:color w:val="FFFFFF" w:themeColor="background1"/>
                <w:sz w:val="16"/>
                <w:szCs w:val="16"/>
              </w:rPr>
            </w:pPr>
            <w:r w:rsidRPr="00BC6A1E">
              <w:rPr>
                <w:rFonts w:ascii="Arial" w:hAnsi="Arial" w:cs="Arial"/>
                <w:color w:val="FFFFFF" w:themeColor="background1"/>
                <w:sz w:val="16"/>
                <w:szCs w:val="16"/>
              </w:rPr>
              <w:t>[185.00% to 205.00%] leveraged upside exposure to increases in the Index</w:t>
            </w:r>
          </w:p>
          <w:p w14:paraId="5AB60F77" w14:textId="2019E81A" w:rsidR="00BC6A1E" w:rsidRPr="00BC6A1E" w:rsidRDefault="00BC6A1E" w:rsidP="00E155E9">
            <w:pPr>
              <w:pStyle w:val="ListParagraph"/>
              <w:numPr>
                <w:ilvl w:val="0"/>
                <w:numId w:val="2"/>
              </w:numPr>
              <w:spacing w:before="120" w:after="120"/>
              <w:ind w:left="701" w:hanging="346"/>
              <w:contextualSpacing w:val="0"/>
              <w:rPr>
                <w:rFonts w:ascii="Arial" w:hAnsi="Arial" w:cs="Arial"/>
                <w:color w:val="FFFFFF" w:themeColor="background1"/>
                <w:sz w:val="16"/>
                <w:szCs w:val="16"/>
              </w:rPr>
            </w:pPr>
            <w:r w:rsidRPr="00BC6A1E">
              <w:rPr>
                <w:rFonts w:ascii="Arial" w:hAnsi="Arial" w:cs="Arial"/>
                <w:color w:val="FFFFFF" w:themeColor="background1"/>
                <w:sz w:val="16"/>
                <w:szCs w:val="16"/>
              </w:rPr>
              <w:t>1-to-1 downside exposure to decreases in the Index, with up to 100.00% of your principal at risk</w:t>
            </w:r>
          </w:p>
          <w:p w14:paraId="157C27EB" w14:textId="1CE9F2FB" w:rsidR="00BC6A1E" w:rsidRPr="00BC6A1E" w:rsidRDefault="00BC6A1E" w:rsidP="00E155E9">
            <w:pPr>
              <w:pStyle w:val="ListParagraph"/>
              <w:numPr>
                <w:ilvl w:val="0"/>
                <w:numId w:val="2"/>
              </w:numPr>
              <w:spacing w:before="120" w:after="120"/>
              <w:ind w:left="341" w:hanging="346"/>
              <w:contextualSpacing w:val="0"/>
              <w:rPr>
                <w:rFonts w:ascii="Arial" w:hAnsi="Arial" w:cs="Arial"/>
                <w:color w:val="FFFFFF" w:themeColor="background1"/>
                <w:sz w:val="16"/>
                <w:szCs w:val="16"/>
              </w:rPr>
            </w:pPr>
            <w:r w:rsidRPr="00BC6A1E">
              <w:rPr>
                <w:rFonts w:ascii="Arial" w:hAnsi="Arial" w:cs="Arial"/>
                <w:color w:val="FFFFFF" w:themeColor="background1"/>
                <w:sz w:val="16"/>
                <w:szCs w:val="16"/>
              </w:rPr>
              <w:t>All payments are subject to the credit risk of The Bank of Nova Scotia</w:t>
            </w:r>
          </w:p>
          <w:p w14:paraId="5714141F" w14:textId="561B503D" w:rsidR="00BC6A1E" w:rsidRPr="00BC6A1E" w:rsidRDefault="00BC6A1E" w:rsidP="00E155E9">
            <w:pPr>
              <w:pStyle w:val="ListParagraph"/>
              <w:numPr>
                <w:ilvl w:val="0"/>
                <w:numId w:val="2"/>
              </w:numPr>
              <w:spacing w:before="120" w:after="120"/>
              <w:ind w:left="341" w:hanging="346"/>
              <w:contextualSpacing w:val="0"/>
              <w:rPr>
                <w:rFonts w:ascii="Arial" w:hAnsi="Arial" w:cs="Arial"/>
                <w:color w:val="FFFFFF" w:themeColor="background1"/>
                <w:sz w:val="16"/>
                <w:szCs w:val="16"/>
              </w:rPr>
            </w:pPr>
            <w:r w:rsidRPr="00BC6A1E">
              <w:rPr>
                <w:rFonts w:ascii="Arial" w:hAnsi="Arial" w:cs="Arial"/>
                <w:color w:val="FFFFFF" w:themeColor="background1"/>
                <w:sz w:val="16"/>
                <w:szCs w:val="16"/>
              </w:rPr>
              <w:t>No periodic interest payments</w:t>
            </w:r>
          </w:p>
          <w:p w14:paraId="3854DA7B" w14:textId="70E211D1" w:rsidR="00BC6A1E" w:rsidRPr="00BC6A1E" w:rsidRDefault="00BC6A1E" w:rsidP="00E155E9">
            <w:pPr>
              <w:pStyle w:val="ListParagraph"/>
              <w:numPr>
                <w:ilvl w:val="0"/>
                <w:numId w:val="2"/>
              </w:numPr>
              <w:spacing w:before="120" w:after="120"/>
              <w:ind w:left="341" w:hanging="346"/>
              <w:contextualSpacing w:val="0"/>
              <w:rPr>
                <w:rFonts w:ascii="Arial" w:hAnsi="Arial" w:cs="Arial"/>
                <w:color w:val="FFFFFF" w:themeColor="background1"/>
                <w:sz w:val="16"/>
                <w:szCs w:val="16"/>
              </w:rPr>
            </w:pPr>
            <w:r w:rsidRPr="00BC6A1E">
              <w:rPr>
                <w:rFonts w:ascii="Arial" w:hAnsi="Arial" w:cs="Arial"/>
                <w:color w:val="FFFFFF" w:themeColor="background1"/>
                <w:sz w:val="16"/>
                <w:szCs w:val="16"/>
              </w:rPr>
              <w:t>In addition to the underwriting discount set forth below, the notes include a hedging-related charge of $0.05 per unit. See “Structuring the Notes”</w:t>
            </w:r>
          </w:p>
          <w:p w14:paraId="2A4E65C5" w14:textId="2BD28114" w:rsidR="00BC6A1E" w:rsidRPr="00BC6A1E" w:rsidRDefault="00BC6A1E" w:rsidP="00E155E9">
            <w:pPr>
              <w:pStyle w:val="ListParagraph"/>
              <w:numPr>
                <w:ilvl w:val="0"/>
                <w:numId w:val="2"/>
              </w:numPr>
              <w:spacing w:before="120" w:after="120"/>
              <w:ind w:left="341" w:hanging="346"/>
              <w:contextualSpacing w:val="0"/>
              <w:rPr>
                <w:rFonts w:ascii="Arial" w:hAnsi="Arial" w:cs="Arial"/>
                <w:color w:val="FFFFFF" w:themeColor="background1"/>
                <w:sz w:val="16"/>
                <w:szCs w:val="16"/>
              </w:rPr>
            </w:pPr>
            <w:r w:rsidRPr="00BC6A1E">
              <w:rPr>
                <w:rFonts w:ascii="Arial" w:hAnsi="Arial" w:cs="Arial"/>
                <w:color w:val="FFFFFF" w:themeColor="background1"/>
                <w:sz w:val="16"/>
                <w:szCs w:val="16"/>
              </w:rPr>
              <w:t>Limited secondary market liquidity, with no exchange listing</w:t>
            </w:r>
          </w:p>
          <w:p w14:paraId="11017C94" w14:textId="45AEA35F" w:rsidR="00BC6A1E" w:rsidRPr="00BC6A1E" w:rsidRDefault="00BC6A1E" w:rsidP="00E155E9">
            <w:pPr>
              <w:pStyle w:val="ListParagraph"/>
              <w:numPr>
                <w:ilvl w:val="0"/>
                <w:numId w:val="2"/>
              </w:numPr>
              <w:spacing w:before="120" w:after="120"/>
              <w:ind w:left="341" w:hanging="346"/>
              <w:contextualSpacing w:val="0"/>
              <w:rPr>
                <w:rFonts w:ascii="Arial" w:hAnsi="Arial" w:cs="Arial"/>
                <w:color w:val="FFFFFF" w:themeColor="background1"/>
                <w:sz w:val="16"/>
                <w:szCs w:val="16"/>
              </w:rPr>
            </w:pPr>
            <w:r w:rsidRPr="00BC6A1E">
              <w:rPr>
                <w:rFonts w:ascii="Arial" w:hAnsi="Arial" w:cs="Arial"/>
                <w:color w:val="FFFFFF" w:themeColor="background1"/>
                <w:sz w:val="16"/>
                <w:szCs w:val="16"/>
              </w:rPr>
              <w:t>The notes are unsecured debt securities and are not savings accounts or insured deposits of a bank. The notes are not insured or guaranteed by the Canada Deposit Insurance Corporation (the “CDIC”), the U.S. Federal Deposit Insurance Corporation (the “FDIC”), or any other governmental agency of Canada, the United States or any other jurisdiction</w:t>
            </w:r>
          </w:p>
        </w:tc>
      </w:tr>
      <w:tr w:rsidR="00BC6A1E" w:rsidRPr="00B1206C" w14:paraId="52F5352E" w14:textId="77777777" w:rsidTr="000952C3">
        <w:tc>
          <w:tcPr>
            <w:tcW w:w="2862" w:type="dxa"/>
            <w:shd w:val="clear" w:color="auto" w:fill="1F497D"/>
          </w:tcPr>
          <w:p w14:paraId="7771F40F" w14:textId="77777777" w:rsidR="00BC6A1E" w:rsidRPr="00B1206C" w:rsidRDefault="00BC6A1E" w:rsidP="00B1206C">
            <w:pPr>
              <w:rPr>
                <w:rFonts w:ascii="Arial" w:hAnsi="Arial" w:cs="Arial"/>
                <w:sz w:val="16"/>
                <w:szCs w:val="16"/>
              </w:rPr>
            </w:pPr>
          </w:p>
        </w:tc>
        <w:tc>
          <w:tcPr>
            <w:tcW w:w="2916" w:type="dxa"/>
            <w:shd w:val="clear" w:color="auto" w:fill="1F497D"/>
          </w:tcPr>
          <w:p w14:paraId="69ACCBBF" w14:textId="77777777" w:rsidR="00BC6A1E" w:rsidRPr="00BC6A1E" w:rsidRDefault="00BC6A1E" w:rsidP="00B1206C">
            <w:pPr>
              <w:rPr>
                <w:rFonts w:ascii="Arial" w:hAnsi="Arial" w:cs="Arial"/>
                <w:color w:val="FFFFFF" w:themeColor="background1"/>
                <w:sz w:val="16"/>
                <w:szCs w:val="16"/>
              </w:rPr>
            </w:pPr>
          </w:p>
        </w:tc>
        <w:tc>
          <w:tcPr>
            <w:tcW w:w="2680" w:type="dxa"/>
            <w:shd w:val="clear" w:color="auto" w:fill="1F497D"/>
          </w:tcPr>
          <w:p w14:paraId="25115899" w14:textId="77777777" w:rsidR="00BC6A1E" w:rsidRPr="00B1206C" w:rsidRDefault="00BC6A1E" w:rsidP="00B1206C">
            <w:pPr>
              <w:rPr>
                <w:rFonts w:ascii="Arial" w:hAnsi="Arial" w:cs="Arial"/>
                <w:sz w:val="16"/>
                <w:szCs w:val="16"/>
              </w:rPr>
            </w:pPr>
          </w:p>
        </w:tc>
        <w:tc>
          <w:tcPr>
            <w:tcW w:w="2908" w:type="dxa"/>
            <w:shd w:val="clear" w:color="auto" w:fill="1F497D"/>
          </w:tcPr>
          <w:p w14:paraId="2580A2E0" w14:textId="77777777" w:rsidR="00BC6A1E" w:rsidRPr="00B1206C" w:rsidRDefault="00BC6A1E" w:rsidP="00B1206C">
            <w:pPr>
              <w:rPr>
                <w:rFonts w:ascii="Arial" w:hAnsi="Arial" w:cs="Arial"/>
                <w:sz w:val="16"/>
                <w:szCs w:val="16"/>
              </w:rPr>
            </w:pPr>
          </w:p>
        </w:tc>
      </w:tr>
      <w:tr w:rsidR="00BC6A1E" w:rsidRPr="00B1206C" w14:paraId="5642E2D2" w14:textId="77777777" w:rsidTr="006856A5">
        <w:trPr>
          <w:trHeight w:val="306"/>
        </w:trPr>
        <w:tc>
          <w:tcPr>
            <w:tcW w:w="2862" w:type="dxa"/>
            <w:shd w:val="clear" w:color="auto" w:fill="B8CCE4"/>
          </w:tcPr>
          <w:p w14:paraId="2F09A05A" w14:textId="77777777" w:rsidR="00BC6A1E" w:rsidRPr="00B1206C" w:rsidRDefault="00BC6A1E" w:rsidP="00B1206C">
            <w:pPr>
              <w:rPr>
                <w:rFonts w:ascii="Arial" w:hAnsi="Arial" w:cs="Arial"/>
                <w:sz w:val="16"/>
                <w:szCs w:val="16"/>
              </w:rPr>
            </w:pPr>
          </w:p>
        </w:tc>
        <w:tc>
          <w:tcPr>
            <w:tcW w:w="2916" w:type="dxa"/>
            <w:shd w:val="clear" w:color="auto" w:fill="B8CCE4"/>
          </w:tcPr>
          <w:p w14:paraId="1F596A2C" w14:textId="77777777" w:rsidR="00BC6A1E" w:rsidRPr="00BC6A1E" w:rsidRDefault="00BC6A1E" w:rsidP="00B1206C">
            <w:pPr>
              <w:rPr>
                <w:rFonts w:ascii="Arial" w:hAnsi="Arial" w:cs="Arial"/>
                <w:color w:val="FFFFFF" w:themeColor="background1"/>
                <w:sz w:val="16"/>
                <w:szCs w:val="16"/>
              </w:rPr>
            </w:pPr>
          </w:p>
        </w:tc>
        <w:tc>
          <w:tcPr>
            <w:tcW w:w="2680" w:type="dxa"/>
            <w:shd w:val="clear" w:color="auto" w:fill="B8CCE4"/>
          </w:tcPr>
          <w:p w14:paraId="444AECC8" w14:textId="77777777" w:rsidR="00BC6A1E" w:rsidRPr="00B1206C" w:rsidRDefault="00BC6A1E" w:rsidP="00B1206C">
            <w:pPr>
              <w:rPr>
                <w:rFonts w:ascii="Arial" w:hAnsi="Arial" w:cs="Arial"/>
                <w:sz w:val="16"/>
                <w:szCs w:val="16"/>
              </w:rPr>
            </w:pPr>
          </w:p>
        </w:tc>
        <w:tc>
          <w:tcPr>
            <w:tcW w:w="2908" w:type="dxa"/>
            <w:shd w:val="clear" w:color="auto" w:fill="B8CCE4"/>
          </w:tcPr>
          <w:p w14:paraId="096A837C" w14:textId="77777777" w:rsidR="00BC6A1E" w:rsidRPr="00B1206C" w:rsidRDefault="00BC6A1E" w:rsidP="00B1206C">
            <w:pPr>
              <w:rPr>
                <w:rFonts w:ascii="Arial" w:hAnsi="Arial" w:cs="Arial"/>
                <w:sz w:val="16"/>
                <w:szCs w:val="16"/>
              </w:rPr>
            </w:pPr>
          </w:p>
        </w:tc>
      </w:tr>
      <w:tr w:rsidR="00E155E9" w:rsidRPr="00B1206C" w14:paraId="4C70E4CC" w14:textId="77777777" w:rsidTr="00E155E9">
        <w:trPr>
          <w:trHeight w:val="90"/>
        </w:trPr>
        <w:tc>
          <w:tcPr>
            <w:tcW w:w="2862" w:type="dxa"/>
            <w:shd w:val="clear" w:color="auto" w:fill="FFFFFF" w:themeFill="background1"/>
          </w:tcPr>
          <w:p w14:paraId="001ADDC0" w14:textId="77777777" w:rsidR="00E155E9" w:rsidRPr="00B1206C" w:rsidRDefault="00E155E9" w:rsidP="00B1206C">
            <w:pPr>
              <w:rPr>
                <w:rFonts w:ascii="Arial" w:hAnsi="Arial" w:cs="Arial"/>
                <w:sz w:val="16"/>
                <w:szCs w:val="16"/>
              </w:rPr>
            </w:pPr>
          </w:p>
        </w:tc>
        <w:tc>
          <w:tcPr>
            <w:tcW w:w="2916" w:type="dxa"/>
            <w:shd w:val="clear" w:color="auto" w:fill="FFFFFF" w:themeFill="background1"/>
          </w:tcPr>
          <w:p w14:paraId="21B9AD19" w14:textId="77777777" w:rsidR="00E155E9" w:rsidRPr="00BC6A1E" w:rsidRDefault="00E155E9" w:rsidP="00B1206C">
            <w:pPr>
              <w:rPr>
                <w:rFonts w:ascii="Arial" w:hAnsi="Arial" w:cs="Arial"/>
                <w:color w:val="FFFFFF" w:themeColor="background1"/>
                <w:sz w:val="16"/>
                <w:szCs w:val="16"/>
              </w:rPr>
            </w:pPr>
          </w:p>
        </w:tc>
        <w:tc>
          <w:tcPr>
            <w:tcW w:w="2680" w:type="dxa"/>
            <w:shd w:val="clear" w:color="auto" w:fill="FFFFFF" w:themeFill="background1"/>
          </w:tcPr>
          <w:p w14:paraId="6B326136" w14:textId="77777777" w:rsidR="00E155E9" w:rsidRPr="00B1206C" w:rsidRDefault="00E155E9" w:rsidP="00B1206C">
            <w:pPr>
              <w:rPr>
                <w:rFonts w:ascii="Arial" w:hAnsi="Arial" w:cs="Arial"/>
                <w:sz w:val="16"/>
                <w:szCs w:val="16"/>
              </w:rPr>
            </w:pPr>
          </w:p>
        </w:tc>
        <w:tc>
          <w:tcPr>
            <w:tcW w:w="2908" w:type="dxa"/>
            <w:shd w:val="clear" w:color="auto" w:fill="FFFFFF" w:themeFill="background1"/>
          </w:tcPr>
          <w:p w14:paraId="06C847A3" w14:textId="77777777" w:rsidR="00E155E9" w:rsidRPr="00B1206C" w:rsidRDefault="00E155E9" w:rsidP="00B1206C">
            <w:pPr>
              <w:rPr>
                <w:rFonts w:ascii="Arial" w:hAnsi="Arial" w:cs="Arial"/>
                <w:sz w:val="16"/>
                <w:szCs w:val="16"/>
              </w:rPr>
            </w:pPr>
          </w:p>
        </w:tc>
      </w:tr>
    </w:tbl>
    <w:p w14:paraId="766B543F" w14:textId="77777777" w:rsidR="00BC6A1E" w:rsidRPr="00BC6A1E" w:rsidRDefault="00BC6A1E" w:rsidP="00BC6A1E">
      <w:pPr>
        <w:rPr>
          <w:rFonts w:ascii="Arial" w:hAnsi="Arial" w:cs="Arial"/>
          <w:sz w:val="16"/>
          <w:szCs w:val="16"/>
        </w:rPr>
      </w:pPr>
      <w:r w:rsidRPr="00BC6A1E">
        <w:rPr>
          <w:rFonts w:ascii="Arial" w:hAnsi="Arial" w:cs="Arial"/>
          <w:b/>
          <w:bCs/>
          <w:sz w:val="16"/>
          <w:szCs w:val="16"/>
        </w:rPr>
        <w:t>The notes are being issued by The Bank of Nova Scotia (“BNS”). There are important differences between the notes and a conventional debt security, including different investment risks and certain additional costs. See “Risk Factors” beginning on page TS-7 of this term sheet, “Additional Risk Factors” on page TS-8 of this term sheet and “Risk Factors” beginning on page PS-7 of product supplement EQUITY LIRN-1.</w:t>
      </w:r>
    </w:p>
    <w:p w14:paraId="0E8BF039" w14:textId="77777777" w:rsidR="00BC6A1E" w:rsidRDefault="00BC6A1E" w:rsidP="006856A5">
      <w:pPr>
        <w:spacing w:after="0"/>
        <w:rPr>
          <w:rFonts w:ascii="Arial" w:hAnsi="Arial" w:cs="Arial"/>
          <w:sz w:val="16"/>
          <w:szCs w:val="16"/>
        </w:rPr>
      </w:pPr>
      <w:r w:rsidRPr="00BC6A1E">
        <w:rPr>
          <w:rFonts w:ascii="Arial" w:hAnsi="Arial" w:cs="Arial"/>
          <w:b/>
          <w:bCs/>
          <w:sz w:val="16"/>
          <w:szCs w:val="16"/>
        </w:rPr>
        <w:t>The initial estimated value of the notes as of the pricing date is expected to be between $9.38 and $9.68 per unit, which is less than the public offering price listed below.</w:t>
      </w:r>
      <w:r w:rsidRPr="00BC6A1E">
        <w:rPr>
          <w:rFonts w:ascii="Arial" w:hAnsi="Arial" w:cs="Arial"/>
          <w:sz w:val="16"/>
          <w:szCs w:val="16"/>
        </w:rPr>
        <w:t xml:space="preserve"> See “Summary” on the following page, “Risk Factors” beginning on page TS-7 of this term sheet and “Structuring the Notes” on page TS-15 of this term sheet for additional information. The actual value of your notes at any time will reflect many factors and cannot be predicted with accuracy.</w:t>
      </w:r>
    </w:p>
    <w:p w14:paraId="1CEF822D" w14:textId="4E07B83D" w:rsidR="00E155E9" w:rsidRPr="00BC6A1E" w:rsidRDefault="00E155E9" w:rsidP="00E155E9">
      <w:pPr>
        <w:jc w:val="center"/>
        <w:rPr>
          <w:rFonts w:ascii="Arial" w:hAnsi="Arial" w:cs="Arial"/>
          <w:sz w:val="16"/>
          <w:szCs w:val="16"/>
        </w:rPr>
      </w:pPr>
      <w:r>
        <w:rPr>
          <w:rFonts w:ascii="Arial" w:hAnsi="Arial" w:cs="Arial"/>
          <w:sz w:val="16"/>
          <w:szCs w:val="16"/>
        </w:rPr>
        <w:t>_______________________</w:t>
      </w:r>
    </w:p>
    <w:p w14:paraId="6086EF7D" w14:textId="625A77F9" w:rsidR="00B1206C" w:rsidRDefault="000B2237" w:rsidP="006856A5">
      <w:pPr>
        <w:spacing w:after="0"/>
        <w:rPr>
          <w:rFonts w:ascii="Arial" w:hAnsi="Arial" w:cs="Arial"/>
          <w:sz w:val="16"/>
          <w:szCs w:val="16"/>
        </w:rPr>
      </w:pPr>
      <w:r w:rsidRPr="000B2237">
        <w:rPr>
          <w:rFonts w:ascii="Arial" w:hAnsi="Arial" w:cs="Arial"/>
          <w:sz w:val="16"/>
          <w:szCs w:val="16"/>
        </w:rPr>
        <w:t>None of the U.S. Securities and Exchange Commission (the “SEC”), any state securities commission, or any other regulatory body has approved or disapproved of these securities or determined if this Note Prospectus (as defined below) is truthful or complete. Any representation to the contrary is a criminal offense.</w:t>
      </w:r>
    </w:p>
    <w:p w14:paraId="3CA66BF1" w14:textId="77777777" w:rsidR="00E155E9" w:rsidRPr="00BC6A1E" w:rsidRDefault="00E155E9" w:rsidP="00E155E9">
      <w:pPr>
        <w:jc w:val="center"/>
        <w:rPr>
          <w:rFonts w:ascii="Arial" w:hAnsi="Arial" w:cs="Arial"/>
          <w:sz w:val="16"/>
          <w:szCs w:val="16"/>
        </w:rPr>
      </w:pPr>
      <w:r>
        <w:rPr>
          <w:rFonts w:ascii="Arial" w:hAnsi="Arial" w:cs="Arial"/>
          <w:sz w:val="16"/>
          <w:szCs w:val="16"/>
        </w:rPr>
        <w:t>_______________________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5"/>
        <w:gridCol w:w="2610"/>
        <w:gridCol w:w="3001"/>
      </w:tblGrid>
      <w:tr w:rsidR="000B2237" w14:paraId="2154CFD8" w14:textId="77777777" w:rsidTr="00E155E9">
        <w:tc>
          <w:tcPr>
            <w:tcW w:w="5755" w:type="dxa"/>
          </w:tcPr>
          <w:p w14:paraId="52946427" w14:textId="77777777" w:rsidR="000B2237" w:rsidRDefault="000B2237" w:rsidP="00B1206C">
            <w:pPr>
              <w:rPr>
                <w:rFonts w:ascii="Arial" w:hAnsi="Arial" w:cs="Arial"/>
                <w:sz w:val="16"/>
                <w:szCs w:val="16"/>
              </w:rPr>
            </w:pPr>
          </w:p>
        </w:tc>
        <w:tc>
          <w:tcPr>
            <w:tcW w:w="2610" w:type="dxa"/>
          </w:tcPr>
          <w:p w14:paraId="21D316DE" w14:textId="4DACC37F" w:rsidR="000B2237" w:rsidRPr="00E155E9" w:rsidRDefault="00E155E9" w:rsidP="00B1206C">
            <w:pPr>
              <w:rPr>
                <w:rFonts w:ascii="Arial" w:hAnsi="Arial" w:cs="Arial"/>
                <w:sz w:val="16"/>
                <w:szCs w:val="16"/>
                <w:u w:val="single"/>
              </w:rPr>
            </w:pPr>
            <w:r w:rsidRPr="00E155E9">
              <w:rPr>
                <w:rFonts w:ascii="Arial" w:hAnsi="Arial" w:cs="Arial"/>
                <w:sz w:val="16"/>
                <w:szCs w:val="16"/>
                <w:u w:val="single"/>
              </w:rPr>
              <w:t>Per Unit</w:t>
            </w:r>
          </w:p>
        </w:tc>
        <w:tc>
          <w:tcPr>
            <w:tcW w:w="3001" w:type="dxa"/>
          </w:tcPr>
          <w:p w14:paraId="3A210F4D" w14:textId="2925F3BA" w:rsidR="000B2237" w:rsidRPr="00E155E9" w:rsidRDefault="00E155E9" w:rsidP="00B1206C">
            <w:pPr>
              <w:rPr>
                <w:rFonts w:ascii="Arial" w:hAnsi="Arial" w:cs="Arial"/>
                <w:sz w:val="16"/>
                <w:szCs w:val="16"/>
                <w:u w:val="single"/>
              </w:rPr>
            </w:pPr>
            <w:r w:rsidRPr="00E155E9">
              <w:rPr>
                <w:rFonts w:ascii="Arial" w:hAnsi="Arial" w:cs="Arial"/>
                <w:sz w:val="16"/>
                <w:szCs w:val="16"/>
                <w:u w:val="single"/>
              </w:rPr>
              <w:t>Total</w:t>
            </w:r>
          </w:p>
        </w:tc>
      </w:tr>
      <w:tr w:rsidR="000B2237" w14:paraId="52972131" w14:textId="77777777" w:rsidTr="00E155E9">
        <w:tc>
          <w:tcPr>
            <w:tcW w:w="5755" w:type="dxa"/>
          </w:tcPr>
          <w:p w14:paraId="4DB66743" w14:textId="4CFACF1F" w:rsidR="000B2237" w:rsidRDefault="00E155E9" w:rsidP="00E155E9">
            <w:pPr>
              <w:spacing w:before="120" w:after="120"/>
              <w:rPr>
                <w:rFonts w:ascii="Arial" w:hAnsi="Arial" w:cs="Arial"/>
                <w:sz w:val="16"/>
                <w:szCs w:val="16"/>
              </w:rPr>
            </w:pPr>
            <w:r w:rsidRPr="00E155E9">
              <w:rPr>
                <w:rFonts w:ascii="Arial" w:hAnsi="Arial" w:cs="Arial"/>
                <w:sz w:val="16"/>
                <w:szCs w:val="16"/>
              </w:rPr>
              <w:t xml:space="preserve">Public offering </w:t>
            </w:r>
            <w:proofErr w:type="gramStart"/>
            <w:r w:rsidRPr="00E155E9">
              <w:rPr>
                <w:rFonts w:ascii="Arial" w:hAnsi="Arial" w:cs="Arial"/>
                <w:sz w:val="16"/>
                <w:szCs w:val="16"/>
              </w:rPr>
              <w:t>price(</w:t>
            </w:r>
            <w:proofErr w:type="gramEnd"/>
            <w:r w:rsidRPr="00E155E9">
              <w:rPr>
                <w:rFonts w:ascii="Arial" w:hAnsi="Arial" w:cs="Arial"/>
                <w:sz w:val="16"/>
                <w:szCs w:val="16"/>
              </w:rPr>
              <w:t xml:space="preserve">1) </w:t>
            </w:r>
          </w:p>
        </w:tc>
        <w:tc>
          <w:tcPr>
            <w:tcW w:w="2610" w:type="dxa"/>
          </w:tcPr>
          <w:p w14:paraId="69A44E5A" w14:textId="598D0D90" w:rsidR="000B2237" w:rsidRDefault="00E155E9" w:rsidP="00E155E9">
            <w:pPr>
              <w:spacing w:before="120" w:after="120"/>
              <w:rPr>
                <w:rFonts w:ascii="Arial" w:hAnsi="Arial" w:cs="Arial"/>
                <w:sz w:val="16"/>
                <w:szCs w:val="16"/>
              </w:rPr>
            </w:pPr>
            <w:r w:rsidRPr="00E155E9">
              <w:rPr>
                <w:rFonts w:ascii="Arial" w:hAnsi="Arial" w:cs="Arial"/>
                <w:sz w:val="16"/>
                <w:szCs w:val="16"/>
              </w:rPr>
              <w:t>$ 10.00</w:t>
            </w:r>
          </w:p>
        </w:tc>
        <w:tc>
          <w:tcPr>
            <w:tcW w:w="3001" w:type="dxa"/>
          </w:tcPr>
          <w:p w14:paraId="5F5ECACE" w14:textId="7FFCA189" w:rsidR="000B2237" w:rsidRDefault="00E155E9" w:rsidP="00E155E9">
            <w:pPr>
              <w:spacing w:before="120" w:after="120"/>
              <w:rPr>
                <w:rFonts w:ascii="Arial" w:hAnsi="Arial" w:cs="Arial"/>
                <w:sz w:val="16"/>
                <w:szCs w:val="16"/>
              </w:rPr>
            </w:pPr>
            <w:r>
              <w:rPr>
                <w:rFonts w:ascii="Arial" w:hAnsi="Arial" w:cs="Arial"/>
                <w:sz w:val="16"/>
                <w:szCs w:val="16"/>
              </w:rPr>
              <w:t>$</w:t>
            </w:r>
          </w:p>
        </w:tc>
      </w:tr>
      <w:tr w:rsidR="000B2237" w14:paraId="7E35E21C" w14:textId="77777777" w:rsidTr="00E155E9">
        <w:tc>
          <w:tcPr>
            <w:tcW w:w="5755" w:type="dxa"/>
          </w:tcPr>
          <w:p w14:paraId="0AE14546" w14:textId="3634560F" w:rsidR="000B2237" w:rsidRDefault="00E155E9" w:rsidP="00E155E9">
            <w:pPr>
              <w:spacing w:before="120" w:after="120"/>
              <w:rPr>
                <w:rFonts w:ascii="Arial" w:hAnsi="Arial" w:cs="Arial"/>
                <w:sz w:val="16"/>
                <w:szCs w:val="16"/>
              </w:rPr>
            </w:pPr>
            <w:r w:rsidRPr="00E155E9">
              <w:rPr>
                <w:rFonts w:ascii="Arial" w:hAnsi="Arial" w:cs="Arial"/>
                <w:sz w:val="16"/>
                <w:szCs w:val="16"/>
              </w:rPr>
              <w:t xml:space="preserve">Underwriting </w:t>
            </w:r>
            <w:proofErr w:type="gramStart"/>
            <w:r w:rsidRPr="00E155E9">
              <w:rPr>
                <w:rFonts w:ascii="Arial" w:hAnsi="Arial" w:cs="Arial"/>
                <w:sz w:val="16"/>
                <w:szCs w:val="16"/>
              </w:rPr>
              <w:t>discount(</w:t>
            </w:r>
            <w:proofErr w:type="gramEnd"/>
            <w:r w:rsidRPr="00E155E9">
              <w:rPr>
                <w:rFonts w:ascii="Arial" w:hAnsi="Arial" w:cs="Arial"/>
                <w:sz w:val="16"/>
                <w:szCs w:val="16"/>
              </w:rPr>
              <w:t xml:space="preserve">1) </w:t>
            </w:r>
          </w:p>
        </w:tc>
        <w:tc>
          <w:tcPr>
            <w:tcW w:w="2610" w:type="dxa"/>
          </w:tcPr>
          <w:p w14:paraId="7F2B3431" w14:textId="0B7742A9" w:rsidR="000B2237" w:rsidRDefault="00E155E9" w:rsidP="00E155E9">
            <w:pPr>
              <w:spacing w:before="120" w:after="120"/>
              <w:rPr>
                <w:rFonts w:ascii="Arial" w:hAnsi="Arial" w:cs="Arial"/>
                <w:sz w:val="16"/>
                <w:szCs w:val="16"/>
              </w:rPr>
            </w:pPr>
            <w:r w:rsidRPr="00E155E9">
              <w:rPr>
                <w:rFonts w:ascii="Arial" w:hAnsi="Arial" w:cs="Arial"/>
                <w:sz w:val="16"/>
                <w:szCs w:val="16"/>
              </w:rPr>
              <w:t>$ 0.20</w:t>
            </w:r>
          </w:p>
        </w:tc>
        <w:tc>
          <w:tcPr>
            <w:tcW w:w="3001" w:type="dxa"/>
          </w:tcPr>
          <w:p w14:paraId="377E2A9F" w14:textId="19CE0EF1" w:rsidR="000B2237" w:rsidRDefault="00E155E9" w:rsidP="00E155E9">
            <w:pPr>
              <w:spacing w:before="120" w:after="120"/>
              <w:rPr>
                <w:rFonts w:ascii="Arial" w:hAnsi="Arial" w:cs="Arial"/>
                <w:sz w:val="16"/>
                <w:szCs w:val="16"/>
              </w:rPr>
            </w:pPr>
            <w:r>
              <w:rPr>
                <w:rFonts w:ascii="Arial" w:hAnsi="Arial" w:cs="Arial"/>
                <w:sz w:val="16"/>
                <w:szCs w:val="16"/>
              </w:rPr>
              <w:t>$</w:t>
            </w:r>
          </w:p>
        </w:tc>
      </w:tr>
      <w:tr w:rsidR="000B2237" w14:paraId="3CCD2170" w14:textId="77777777" w:rsidTr="00E155E9">
        <w:tc>
          <w:tcPr>
            <w:tcW w:w="5755" w:type="dxa"/>
          </w:tcPr>
          <w:p w14:paraId="5B30B998" w14:textId="457E36DD" w:rsidR="000B2237" w:rsidRDefault="00E155E9" w:rsidP="00E155E9">
            <w:pPr>
              <w:spacing w:before="120" w:after="120"/>
              <w:rPr>
                <w:rFonts w:ascii="Arial" w:hAnsi="Arial" w:cs="Arial"/>
                <w:sz w:val="16"/>
                <w:szCs w:val="16"/>
              </w:rPr>
            </w:pPr>
            <w:r w:rsidRPr="00E155E9">
              <w:rPr>
                <w:rFonts w:ascii="Arial" w:hAnsi="Arial" w:cs="Arial"/>
                <w:sz w:val="16"/>
                <w:szCs w:val="16"/>
              </w:rPr>
              <w:t xml:space="preserve">Proceeds, before expenses, to BNS </w:t>
            </w:r>
          </w:p>
        </w:tc>
        <w:tc>
          <w:tcPr>
            <w:tcW w:w="2610" w:type="dxa"/>
          </w:tcPr>
          <w:p w14:paraId="774CEC3C" w14:textId="20570272" w:rsidR="000B2237" w:rsidRDefault="00E155E9" w:rsidP="00E155E9">
            <w:pPr>
              <w:spacing w:before="120" w:after="120"/>
              <w:rPr>
                <w:rFonts w:ascii="Arial" w:hAnsi="Arial" w:cs="Arial"/>
                <w:sz w:val="16"/>
                <w:szCs w:val="16"/>
              </w:rPr>
            </w:pPr>
            <w:r w:rsidRPr="00E155E9">
              <w:rPr>
                <w:rFonts w:ascii="Arial" w:hAnsi="Arial" w:cs="Arial"/>
                <w:sz w:val="16"/>
                <w:szCs w:val="16"/>
              </w:rPr>
              <w:t>$ 9.80</w:t>
            </w:r>
          </w:p>
        </w:tc>
        <w:tc>
          <w:tcPr>
            <w:tcW w:w="3001" w:type="dxa"/>
          </w:tcPr>
          <w:p w14:paraId="5D0FA8D7" w14:textId="111FE4EF" w:rsidR="000B2237" w:rsidRDefault="00E155E9" w:rsidP="00E155E9">
            <w:pPr>
              <w:spacing w:before="120" w:after="120"/>
              <w:rPr>
                <w:rFonts w:ascii="Arial" w:hAnsi="Arial" w:cs="Arial"/>
                <w:sz w:val="16"/>
                <w:szCs w:val="16"/>
              </w:rPr>
            </w:pPr>
            <w:r>
              <w:rPr>
                <w:rFonts w:ascii="Arial" w:hAnsi="Arial" w:cs="Arial"/>
                <w:sz w:val="16"/>
                <w:szCs w:val="16"/>
              </w:rPr>
              <w:t>$</w:t>
            </w:r>
          </w:p>
        </w:tc>
      </w:tr>
    </w:tbl>
    <w:p w14:paraId="47633704" w14:textId="2A7605A5" w:rsidR="00B1206C" w:rsidRPr="00E155E9" w:rsidRDefault="00E155E9" w:rsidP="00E155E9">
      <w:pPr>
        <w:pStyle w:val="ListParagraph"/>
        <w:numPr>
          <w:ilvl w:val="0"/>
          <w:numId w:val="4"/>
        </w:numPr>
        <w:rPr>
          <w:rFonts w:ascii="Arial" w:hAnsi="Arial" w:cs="Arial"/>
          <w:sz w:val="16"/>
          <w:szCs w:val="16"/>
        </w:rPr>
      </w:pPr>
      <w:r w:rsidRPr="00E155E9">
        <w:rPr>
          <w:rFonts w:ascii="Arial" w:hAnsi="Arial" w:cs="Arial"/>
          <w:sz w:val="16"/>
          <w:szCs w:val="16"/>
        </w:rPr>
        <w:t>For any purchase of 300,000 units or more in a single transaction by an individual investor or in combined transactions with the investor’s household in this offering, the public offering price and the underwriting discount will be $9.95 per unit and $0.15 per unit, respectively. See “Supplement to the Plan of Distribution”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8"/>
        <w:gridCol w:w="3789"/>
        <w:gridCol w:w="3789"/>
      </w:tblGrid>
      <w:tr w:rsidR="00E155E9" w14:paraId="6F2638D2" w14:textId="77777777" w:rsidTr="00E155E9">
        <w:tc>
          <w:tcPr>
            <w:tcW w:w="3788" w:type="dxa"/>
            <w:tcBorders>
              <w:bottom w:val="single" w:sz="4" w:space="0" w:color="auto"/>
            </w:tcBorders>
          </w:tcPr>
          <w:p w14:paraId="13369C92" w14:textId="77777777" w:rsidR="00E155E9" w:rsidRPr="00E155E9" w:rsidRDefault="00E155E9" w:rsidP="00B1206C">
            <w:pPr>
              <w:rPr>
                <w:rFonts w:ascii="Arial" w:hAnsi="Arial" w:cs="Arial"/>
                <w:sz w:val="20"/>
                <w:szCs w:val="20"/>
              </w:rPr>
            </w:pPr>
          </w:p>
        </w:tc>
        <w:tc>
          <w:tcPr>
            <w:tcW w:w="3789" w:type="dxa"/>
            <w:tcBorders>
              <w:bottom w:val="single" w:sz="4" w:space="0" w:color="auto"/>
            </w:tcBorders>
          </w:tcPr>
          <w:p w14:paraId="31213AD2" w14:textId="59A8BC4B" w:rsidR="00E155E9" w:rsidRPr="00E155E9" w:rsidRDefault="00E155E9" w:rsidP="006856A5">
            <w:pPr>
              <w:spacing w:after="120"/>
              <w:jc w:val="center"/>
              <w:rPr>
                <w:rFonts w:ascii="Arial" w:hAnsi="Arial" w:cs="Arial"/>
                <w:sz w:val="20"/>
                <w:szCs w:val="20"/>
              </w:rPr>
            </w:pPr>
            <w:r w:rsidRPr="00E155E9">
              <w:rPr>
                <w:rFonts w:ascii="Arial" w:hAnsi="Arial" w:cs="Arial"/>
                <w:b/>
                <w:bCs/>
                <w:sz w:val="20"/>
                <w:szCs w:val="20"/>
              </w:rPr>
              <w:t>The notes:</w:t>
            </w:r>
          </w:p>
        </w:tc>
        <w:tc>
          <w:tcPr>
            <w:tcW w:w="3789" w:type="dxa"/>
            <w:tcBorders>
              <w:bottom w:val="single" w:sz="4" w:space="0" w:color="auto"/>
            </w:tcBorders>
          </w:tcPr>
          <w:p w14:paraId="62DA6374" w14:textId="77777777" w:rsidR="00E155E9" w:rsidRPr="00E155E9" w:rsidRDefault="00E155E9" w:rsidP="00B1206C">
            <w:pPr>
              <w:rPr>
                <w:rFonts w:ascii="Arial" w:hAnsi="Arial" w:cs="Arial"/>
                <w:sz w:val="20"/>
                <w:szCs w:val="20"/>
              </w:rPr>
            </w:pPr>
          </w:p>
        </w:tc>
      </w:tr>
      <w:tr w:rsidR="00E155E9" w:rsidRPr="00E155E9" w14:paraId="26E88966" w14:textId="77777777" w:rsidTr="00E155E9">
        <w:tc>
          <w:tcPr>
            <w:tcW w:w="3788" w:type="dxa"/>
            <w:tcBorders>
              <w:top w:val="single" w:sz="4" w:space="0" w:color="auto"/>
              <w:left w:val="single" w:sz="4" w:space="0" w:color="auto"/>
              <w:bottom w:val="single" w:sz="4" w:space="0" w:color="auto"/>
              <w:right w:val="single" w:sz="4" w:space="0" w:color="auto"/>
            </w:tcBorders>
          </w:tcPr>
          <w:p w14:paraId="285ECEC5" w14:textId="7E55B205" w:rsidR="00E155E9" w:rsidRPr="00E155E9" w:rsidRDefault="00E155E9" w:rsidP="006856A5">
            <w:pPr>
              <w:spacing w:before="120" w:after="120"/>
              <w:jc w:val="center"/>
              <w:rPr>
                <w:rFonts w:ascii="Arial" w:hAnsi="Arial" w:cs="Arial"/>
                <w:b/>
                <w:bCs/>
                <w:sz w:val="20"/>
                <w:szCs w:val="20"/>
              </w:rPr>
            </w:pPr>
            <w:r w:rsidRPr="00E155E9">
              <w:rPr>
                <w:rFonts w:ascii="Arial" w:hAnsi="Arial" w:cs="Arial"/>
                <w:b/>
                <w:bCs/>
                <w:sz w:val="20"/>
                <w:szCs w:val="20"/>
              </w:rPr>
              <w:t>Are Not FDIC Insured</w:t>
            </w:r>
          </w:p>
        </w:tc>
        <w:tc>
          <w:tcPr>
            <w:tcW w:w="3789" w:type="dxa"/>
            <w:tcBorders>
              <w:top w:val="single" w:sz="4" w:space="0" w:color="auto"/>
              <w:left w:val="single" w:sz="4" w:space="0" w:color="auto"/>
              <w:bottom w:val="single" w:sz="4" w:space="0" w:color="auto"/>
              <w:right w:val="single" w:sz="4" w:space="0" w:color="auto"/>
            </w:tcBorders>
          </w:tcPr>
          <w:p w14:paraId="582F266B" w14:textId="1BBAAB94" w:rsidR="00E155E9" w:rsidRPr="00E155E9" w:rsidRDefault="00E155E9" w:rsidP="006856A5">
            <w:pPr>
              <w:spacing w:before="120" w:after="120"/>
              <w:jc w:val="center"/>
              <w:rPr>
                <w:rFonts w:ascii="Arial" w:hAnsi="Arial" w:cs="Arial"/>
                <w:b/>
                <w:bCs/>
                <w:sz w:val="20"/>
                <w:szCs w:val="20"/>
              </w:rPr>
            </w:pPr>
            <w:r w:rsidRPr="00E155E9">
              <w:rPr>
                <w:rFonts w:ascii="Arial" w:hAnsi="Arial" w:cs="Arial"/>
                <w:b/>
                <w:bCs/>
                <w:sz w:val="20"/>
                <w:szCs w:val="20"/>
              </w:rPr>
              <w:t>Are Not Bank Guaranteed</w:t>
            </w:r>
          </w:p>
        </w:tc>
        <w:tc>
          <w:tcPr>
            <w:tcW w:w="3789" w:type="dxa"/>
            <w:tcBorders>
              <w:top w:val="single" w:sz="4" w:space="0" w:color="auto"/>
              <w:left w:val="single" w:sz="4" w:space="0" w:color="auto"/>
              <w:bottom w:val="single" w:sz="4" w:space="0" w:color="auto"/>
              <w:right w:val="single" w:sz="4" w:space="0" w:color="auto"/>
            </w:tcBorders>
          </w:tcPr>
          <w:p w14:paraId="23E1C252" w14:textId="42CE9AC5" w:rsidR="00E155E9" w:rsidRPr="00E155E9" w:rsidRDefault="00E155E9" w:rsidP="006856A5">
            <w:pPr>
              <w:spacing w:before="120" w:after="120"/>
              <w:jc w:val="center"/>
              <w:rPr>
                <w:rFonts w:ascii="Arial" w:hAnsi="Arial" w:cs="Arial"/>
                <w:b/>
                <w:bCs/>
                <w:sz w:val="20"/>
                <w:szCs w:val="20"/>
              </w:rPr>
            </w:pPr>
            <w:r w:rsidRPr="00E155E9">
              <w:rPr>
                <w:rFonts w:ascii="Arial" w:hAnsi="Arial" w:cs="Arial"/>
                <w:b/>
                <w:bCs/>
                <w:sz w:val="20"/>
                <w:szCs w:val="20"/>
              </w:rPr>
              <w:t>May Lose Value</w:t>
            </w:r>
          </w:p>
        </w:tc>
      </w:tr>
      <w:tr w:rsidR="00E155E9" w:rsidRPr="00E155E9" w14:paraId="6B582F62" w14:textId="77777777" w:rsidTr="00E155E9">
        <w:tc>
          <w:tcPr>
            <w:tcW w:w="3788" w:type="dxa"/>
            <w:tcBorders>
              <w:top w:val="single" w:sz="4" w:space="0" w:color="auto"/>
            </w:tcBorders>
          </w:tcPr>
          <w:p w14:paraId="1FBBB453" w14:textId="77777777" w:rsidR="00E155E9" w:rsidRPr="00E155E9" w:rsidRDefault="00E155E9" w:rsidP="00E155E9">
            <w:pPr>
              <w:jc w:val="center"/>
              <w:rPr>
                <w:rFonts w:ascii="Arial" w:hAnsi="Arial" w:cs="Arial"/>
                <w:b/>
                <w:bCs/>
                <w:sz w:val="16"/>
                <w:szCs w:val="16"/>
              </w:rPr>
            </w:pPr>
          </w:p>
        </w:tc>
        <w:tc>
          <w:tcPr>
            <w:tcW w:w="3789" w:type="dxa"/>
            <w:tcBorders>
              <w:top w:val="single" w:sz="4" w:space="0" w:color="auto"/>
            </w:tcBorders>
          </w:tcPr>
          <w:p w14:paraId="7F019543" w14:textId="77777777" w:rsidR="00E155E9" w:rsidRPr="00E155E9" w:rsidRDefault="00E155E9" w:rsidP="00E155E9">
            <w:pPr>
              <w:jc w:val="center"/>
              <w:rPr>
                <w:rFonts w:ascii="Arial" w:hAnsi="Arial" w:cs="Arial"/>
                <w:b/>
                <w:bCs/>
                <w:sz w:val="16"/>
                <w:szCs w:val="16"/>
              </w:rPr>
            </w:pPr>
          </w:p>
        </w:tc>
        <w:tc>
          <w:tcPr>
            <w:tcW w:w="3789" w:type="dxa"/>
            <w:tcBorders>
              <w:top w:val="single" w:sz="4" w:space="0" w:color="auto"/>
            </w:tcBorders>
          </w:tcPr>
          <w:p w14:paraId="7AC8259F" w14:textId="77777777" w:rsidR="00E155E9" w:rsidRPr="00E155E9" w:rsidRDefault="00E155E9" w:rsidP="00E155E9">
            <w:pPr>
              <w:jc w:val="center"/>
              <w:rPr>
                <w:rFonts w:ascii="Arial" w:hAnsi="Arial" w:cs="Arial"/>
                <w:b/>
                <w:bCs/>
                <w:sz w:val="16"/>
                <w:szCs w:val="16"/>
              </w:rPr>
            </w:pPr>
          </w:p>
        </w:tc>
      </w:tr>
      <w:tr w:rsidR="00E155E9" w:rsidRPr="00E155E9" w14:paraId="61070621" w14:textId="77777777" w:rsidTr="00E155E9">
        <w:tc>
          <w:tcPr>
            <w:tcW w:w="3788" w:type="dxa"/>
          </w:tcPr>
          <w:p w14:paraId="06246D2E" w14:textId="77777777" w:rsidR="00E155E9" w:rsidRPr="00E155E9" w:rsidRDefault="00E155E9" w:rsidP="00E155E9">
            <w:pPr>
              <w:jc w:val="center"/>
              <w:rPr>
                <w:rFonts w:ascii="Arial" w:hAnsi="Arial" w:cs="Arial"/>
                <w:b/>
                <w:bCs/>
                <w:sz w:val="16"/>
                <w:szCs w:val="16"/>
              </w:rPr>
            </w:pPr>
          </w:p>
        </w:tc>
        <w:tc>
          <w:tcPr>
            <w:tcW w:w="3789" w:type="dxa"/>
          </w:tcPr>
          <w:p w14:paraId="3E7D1FB1" w14:textId="051BFBEC" w:rsidR="00E155E9" w:rsidRPr="00E155E9" w:rsidRDefault="00E155E9" w:rsidP="00E155E9">
            <w:pPr>
              <w:jc w:val="center"/>
              <w:rPr>
                <w:rFonts w:ascii="Arial" w:hAnsi="Arial" w:cs="Arial"/>
                <w:b/>
                <w:bCs/>
                <w:sz w:val="28"/>
                <w:szCs w:val="28"/>
              </w:rPr>
            </w:pPr>
            <w:proofErr w:type="spellStart"/>
            <w:r w:rsidRPr="00E155E9">
              <w:rPr>
                <w:rFonts w:ascii="Arial" w:hAnsi="Arial" w:cs="Arial"/>
                <w:b/>
                <w:bCs/>
                <w:sz w:val="28"/>
                <w:szCs w:val="28"/>
              </w:rPr>
              <w:t>BofA</w:t>
            </w:r>
            <w:proofErr w:type="spellEnd"/>
            <w:r w:rsidRPr="00E155E9">
              <w:rPr>
                <w:rFonts w:ascii="Arial" w:hAnsi="Arial" w:cs="Arial"/>
                <w:b/>
                <w:bCs/>
                <w:sz w:val="28"/>
                <w:szCs w:val="28"/>
              </w:rPr>
              <w:t xml:space="preserve"> Securities</w:t>
            </w:r>
          </w:p>
        </w:tc>
        <w:tc>
          <w:tcPr>
            <w:tcW w:w="3789" w:type="dxa"/>
          </w:tcPr>
          <w:p w14:paraId="61359E4E" w14:textId="77777777" w:rsidR="00E155E9" w:rsidRPr="00E155E9" w:rsidRDefault="00E155E9" w:rsidP="00E155E9">
            <w:pPr>
              <w:jc w:val="center"/>
              <w:rPr>
                <w:rFonts w:ascii="Arial" w:hAnsi="Arial" w:cs="Arial"/>
                <w:b/>
                <w:bCs/>
                <w:sz w:val="16"/>
                <w:szCs w:val="16"/>
              </w:rPr>
            </w:pPr>
          </w:p>
        </w:tc>
      </w:tr>
      <w:tr w:rsidR="00E155E9" w:rsidRPr="00E155E9" w14:paraId="196707E8" w14:textId="77777777" w:rsidTr="00E155E9">
        <w:tc>
          <w:tcPr>
            <w:tcW w:w="3788" w:type="dxa"/>
          </w:tcPr>
          <w:p w14:paraId="7A2B655A" w14:textId="77777777" w:rsidR="00E155E9" w:rsidRPr="00E155E9" w:rsidRDefault="00E155E9" w:rsidP="00E155E9">
            <w:pPr>
              <w:jc w:val="center"/>
              <w:rPr>
                <w:rFonts w:ascii="Arial" w:hAnsi="Arial" w:cs="Arial"/>
                <w:b/>
                <w:bCs/>
                <w:sz w:val="16"/>
                <w:szCs w:val="16"/>
              </w:rPr>
            </w:pPr>
          </w:p>
        </w:tc>
        <w:tc>
          <w:tcPr>
            <w:tcW w:w="3789" w:type="dxa"/>
          </w:tcPr>
          <w:p w14:paraId="6DDC2B7F" w14:textId="1DF4F4A9" w:rsidR="00E155E9" w:rsidRPr="00E155E9" w:rsidRDefault="00E155E9" w:rsidP="00E155E9">
            <w:pPr>
              <w:jc w:val="center"/>
              <w:rPr>
                <w:rFonts w:ascii="Arial" w:hAnsi="Arial" w:cs="Arial"/>
                <w:sz w:val="16"/>
                <w:szCs w:val="16"/>
              </w:rPr>
            </w:pPr>
            <w:r w:rsidRPr="00E155E9">
              <w:rPr>
                <w:rFonts w:ascii="Arial" w:hAnsi="Arial" w:cs="Arial"/>
                <w:sz w:val="16"/>
                <w:szCs w:val="16"/>
              </w:rPr>
              <w:t xml:space="preserve">December </w:t>
            </w:r>
            <w:proofErr w:type="gramStart"/>
            <w:r w:rsidRPr="00E155E9">
              <w:rPr>
                <w:rFonts w:ascii="Arial" w:hAnsi="Arial" w:cs="Arial"/>
                <w:sz w:val="16"/>
                <w:szCs w:val="16"/>
              </w:rPr>
              <w:t xml:space="preserve">  ,</w:t>
            </w:r>
            <w:proofErr w:type="gramEnd"/>
            <w:r w:rsidRPr="00E155E9">
              <w:rPr>
                <w:rFonts w:ascii="Arial" w:hAnsi="Arial" w:cs="Arial"/>
                <w:sz w:val="16"/>
                <w:szCs w:val="16"/>
              </w:rPr>
              <w:t xml:space="preserve"> 2024</w:t>
            </w:r>
          </w:p>
        </w:tc>
        <w:tc>
          <w:tcPr>
            <w:tcW w:w="3789" w:type="dxa"/>
          </w:tcPr>
          <w:p w14:paraId="327DA671" w14:textId="77777777" w:rsidR="00E155E9" w:rsidRPr="00E155E9" w:rsidRDefault="00E155E9" w:rsidP="00E155E9">
            <w:pPr>
              <w:jc w:val="center"/>
              <w:rPr>
                <w:rFonts w:ascii="Arial" w:hAnsi="Arial" w:cs="Arial"/>
                <w:b/>
                <w:bCs/>
                <w:sz w:val="16"/>
                <w:szCs w:val="16"/>
              </w:rPr>
            </w:pPr>
          </w:p>
        </w:tc>
      </w:tr>
    </w:tbl>
    <w:p w14:paraId="4548B100" w14:textId="3D84E848" w:rsidR="00B1206C" w:rsidRPr="00B1206C" w:rsidRDefault="00B1206C" w:rsidP="006856A5">
      <w:pPr>
        <w:rPr>
          <w:rFonts w:ascii="Arial" w:hAnsi="Arial" w:cs="Arial"/>
          <w:sz w:val="16"/>
          <w:szCs w:val="16"/>
        </w:rPr>
      </w:pPr>
    </w:p>
    <w:sectPr w:rsidR="00B1206C" w:rsidRPr="00B1206C" w:rsidSect="004D40D0">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14A448" w14:textId="77777777" w:rsidR="00E92B0D" w:rsidRDefault="00E92B0D" w:rsidP="00ED397B">
      <w:pPr>
        <w:spacing w:after="0" w:line="240" w:lineRule="auto"/>
      </w:pPr>
      <w:r>
        <w:separator/>
      </w:r>
    </w:p>
  </w:endnote>
  <w:endnote w:type="continuationSeparator" w:id="0">
    <w:p w14:paraId="3B2AD283" w14:textId="77777777" w:rsidR="00E92B0D" w:rsidRDefault="00E92B0D" w:rsidP="00ED3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485BFA" w14:textId="77777777" w:rsidR="00E92B0D" w:rsidRDefault="00E92B0D" w:rsidP="00ED397B">
      <w:pPr>
        <w:spacing w:after="0" w:line="240" w:lineRule="auto"/>
      </w:pPr>
      <w:r>
        <w:separator/>
      </w:r>
    </w:p>
  </w:footnote>
  <w:footnote w:type="continuationSeparator" w:id="0">
    <w:p w14:paraId="15C4E52B" w14:textId="77777777" w:rsidR="00E92B0D" w:rsidRDefault="00E92B0D" w:rsidP="00ED3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25B9B"/>
    <w:multiLevelType w:val="hybridMultilevel"/>
    <w:tmpl w:val="1D50E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C1C98"/>
    <w:multiLevelType w:val="hybridMultilevel"/>
    <w:tmpl w:val="ADAAEE12"/>
    <w:lvl w:ilvl="0" w:tplc="B6021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02354C"/>
    <w:multiLevelType w:val="hybridMultilevel"/>
    <w:tmpl w:val="B9347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484744"/>
    <w:multiLevelType w:val="hybridMultilevel"/>
    <w:tmpl w:val="7BBC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0408431">
    <w:abstractNumId w:val="3"/>
  </w:num>
  <w:num w:numId="2" w16cid:durableId="1419063049">
    <w:abstractNumId w:val="0"/>
  </w:num>
  <w:num w:numId="3" w16cid:durableId="1466658344">
    <w:abstractNumId w:val="2"/>
  </w:num>
  <w:num w:numId="4" w16cid:durableId="806360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0D0"/>
    <w:rsid w:val="00001EB7"/>
    <w:rsid w:val="00050E1B"/>
    <w:rsid w:val="00067514"/>
    <w:rsid w:val="0008231E"/>
    <w:rsid w:val="000839F7"/>
    <w:rsid w:val="000938C8"/>
    <w:rsid w:val="000952C3"/>
    <w:rsid w:val="000B2237"/>
    <w:rsid w:val="000C798F"/>
    <w:rsid w:val="00161DBA"/>
    <w:rsid w:val="00175E39"/>
    <w:rsid w:val="002E7C56"/>
    <w:rsid w:val="003544E1"/>
    <w:rsid w:val="003E1052"/>
    <w:rsid w:val="003E314B"/>
    <w:rsid w:val="00435380"/>
    <w:rsid w:val="0044763B"/>
    <w:rsid w:val="004525A5"/>
    <w:rsid w:val="004B15AB"/>
    <w:rsid w:val="004D40D0"/>
    <w:rsid w:val="00682C00"/>
    <w:rsid w:val="006856A5"/>
    <w:rsid w:val="0072513A"/>
    <w:rsid w:val="0075587A"/>
    <w:rsid w:val="008A0D8A"/>
    <w:rsid w:val="008B4C41"/>
    <w:rsid w:val="008F2AF1"/>
    <w:rsid w:val="00A80FD7"/>
    <w:rsid w:val="00AB3501"/>
    <w:rsid w:val="00AF047C"/>
    <w:rsid w:val="00B1206C"/>
    <w:rsid w:val="00BA47AB"/>
    <w:rsid w:val="00BC4AD6"/>
    <w:rsid w:val="00BC6A1E"/>
    <w:rsid w:val="00C66002"/>
    <w:rsid w:val="00C72B29"/>
    <w:rsid w:val="00CC75D9"/>
    <w:rsid w:val="00CF4C55"/>
    <w:rsid w:val="00DE22E3"/>
    <w:rsid w:val="00E05893"/>
    <w:rsid w:val="00E155E9"/>
    <w:rsid w:val="00E65FD2"/>
    <w:rsid w:val="00E7156C"/>
    <w:rsid w:val="00E72CDF"/>
    <w:rsid w:val="00E754B2"/>
    <w:rsid w:val="00E92B0D"/>
    <w:rsid w:val="00ED397B"/>
    <w:rsid w:val="00EE7ABF"/>
    <w:rsid w:val="00F31BEB"/>
    <w:rsid w:val="00F51AB9"/>
    <w:rsid w:val="00FF2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F56FF"/>
  <w15:chartTrackingRefBased/>
  <w15:docId w15:val="{F6FC30BD-3568-42B4-A4BB-524CDD756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4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798F"/>
    <w:pPr>
      <w:ind w:left="720"/>
      <w:contextualSpacing/>
    </w:pPr>
  </w:style>
  <w:style w:type="paragraph" w:styleId="Header">
    <w:name w:val="header"/>
    <w:basedOn w:val="Normal"/>
    <w:link w:val="HeaderChar"/>
    <w:uiPriority w:val="99"/>
    <w:unhideWhenUsed/>
    <w:rsid w:val="00ED3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97B"/>
  </w:style>
  <w:style w:type="paragraph" w:styleId="Footer">
    <w:name w:val="footer"/>
    <w:basedOn w:val="Normal"/>
    <w:link w:val="FooterChar"/>
    <w:uiPriority w:val="99"/>
    <w:unhideWhenUsed/>
    <w:rsid w:val="00ED3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97B"/>
  </w:style>
  <w:style w:type="character" w:styleId="Hyperlink">
    <w:name w:val="Hyperlink"/>
    <w:basedOn w:val="DefaultParagraphFont"/>
    <w:uiPriority w:val="99"/>
    <w:unhideWhenUsed/>
    <w:rsid w:val="000952C3"/>
    <w:rPr>
      <w:color w:val="0563C1" w:themeColor="hyperlink"/>
      <w:u w:val="single"/>
    </w:rPr>
  </w:style>
  <w:style w:type="character" w:styleId="UnresolvedMention">
    <w:name w:val="Unresolved Mention"/>
    <w:basedOn w:val="DefaultParagraphFont"/>
    <w:uiPriority w:val="99"/>
    <w:semiHidden/>
    <w:unhideWhenUsed/>
    <w:rsid w:val="000952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84295">
      <w:bodyDiv w:val="1"/>
      <w:marLeft w:val="0"/>
      <w:marRight w:val="0"/>
      <w:marTop w:val="0"/>
      <w:marBottom w:val="0"/>
      <w:divBdr>
        <w:top w:val="none" w:sz="0" w:space="0" w:color="auto"/>
        <w:left w:val="none" w:sz="0" w:space="0" w:color="auto"/>
        <w:bottom w:val="none" w:sz="0" w:space="0" w:color="auto"/>
        <w:right w:val="none" w:sz="0" w:space="0" w:color="auto"/>
      </w:divBdr>
    </w:div>
    <w:div w:id="157111079">
      <w:bodyDiv w:val="1"/>
      <w:marLeft w:val="0"/>
      <w:marRight w:val="0"/>
      <w:marTop w:val="0"/>
      <w:marBottom w:val="0"/>
      <w:divBdr>
        <w:top w:val="none" w:sz="0" w:space="0" w:color="auto"/>
        <w:left w:val="none" w:sz="0" w:space="0" w:color="auto"/>
        <w:bottom w:val="none" w:sz="0" w:space="0" w:color="auto"/>
        <w:right w:val="none" w:sz="0" w:space="0" w:color="auto"/>
      </w:divBdr>
    </w:div>
    <w:div w:id="165367313">
      <w:bodyDiv w:val="1"/>
      <w:marLeft w:val="0"/>
      <w:marRight w:val="0"/>
      <w:marTop w:val="0"/>
      <w:marBottom w:val="0"/>
      <w:divBdr>
        <w:top w:val="none" w:sz="0" w:space="0" w:color="auto"/>
        <w:left w:val="none" w:sz="0" w:space="0" w:color="auto"/>
        <w:bottom w:val="none" w:sz="0" w:space="0" w:color="auto"/>
        <w:right w:val="none" w:sz="0" w:space="0" w:color="auto"/>
      </w:divBdr>
      <w:divsChild>
        <w:div w:id="1814330720">
          <w:marLeft w:val="0"/>
          <w:marRight w:val="0"/>
          <w:marTop w:val="0"/>
          <w:marBottom w:val="0"/>
          <w:divBdr>
            <w:top w:val="none" w:sz="0" w:space="0" w:color="auto"/>
            <w:left w:val="none" w:sz="0" w:space="0" w:color="auto"/>
            <w:bottom w:val="none" w:sz="0" w:space="0" w:color="auto"/>
            <w:right w:val="none" w:sz="0" w:space="0" w:color="auto"/>
          </w:divBdr>
          <w:divsChild>
            <w:div w:id="141204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5291">
      <w:bodyDiv w:val="1"/>
      <w:marLeft w:val="0"/>
      <w:marRight w:val="0"/>
      <w:marTop w:val="0"/>
      <w:marBottom w:val="0"/>
      <w:divBdr>
        <w:top w:val="none" w:sz="0" w:space="0" w:color="auto"/>
        <w:left w:val="none" w:sz="0" w:space="0" w:color="auto"/>
        <w:bottom w:val="none" w:sz="0" w:space="0" w:color="auto"/>
        <w:right w:val="none" w:sz="0" w:space="0" w:color="auto"/>
      </w:divBdr>
    </w:div>
    <w:div w:id="226694564">
      <w:bodyDiv w:val="1"/>
      <w:marLeft w:val="0"/>
      <w:marRight w:val="0"/>
      <w:marTop w:val="0"/>
      <w:marBottom w:val="0"/>
      <w:divBdr>
        <w:top w:val="none" w:sz="0" w:space="0" w:color="auto"/>
        <w:left w:val="none" w:sz="0" w:space="0" w:color="auto"/>
        <w:bottom w:val="none" w:sz="0" w:space="0" w:color="auto"/>
        <w:right w:val="none" w:sz="0" w:space="0" w:color="auto"/>
      </w:divBdr>
    </w:div>
    <w:div w:id="354575719">
      <w:bodyDiv w:val="1"/>
      <w:marLeft w:val="0"/>
      <w:marRight w:val="0"/>
      <w:marTop w:val="0"/>
      <w:marBottom w:val="0"/>
      <w:divBdr>
        <w:top w:val="none" w:sz="0" w:space="0" w:color="auto"/>
        <w:left w:val="none" w:sz="0" w:space="0" w:color="auto"/>
        <w:bottom w:val="none" w:sz="0" w:space="0" w:color="auto"/>
        <w:right w:val="none" w:sz="0" w:space="0" w:color="auto"/>
      </w:divBdr>
    </w:div>
    <w:div w:id="426658277">
      <w:bodyDiv w:val="1"/>
      <w:marLeft w:val="0"/>
      <w:marRight w:val="0"/>
      <w:marTop w:val="0"/>
      <w:marBottom w:val="0"/>
      <w:divBdr>
        <w:top w:val="none" w:sz="0" w:space="0" w:color="auto"/>
        <w:left w:val="none" w:sz="0" w:space="0" w:color="auto"/>
        <w:bottom w:val="none" w:sz="0" w:space="0" w:color="auto"/>
        <w:right w:val="none" w:sz="0" w:space="0" w:color="auto"/>
      </w:divBdr>
      <w:divsChild>
        <w:div w:id="1375541364">
          <w:marLeft w:val="0"/>
          <w:marRight w:val="0"/>
          <w:marTop w:val="0"/>
          <w:marBottom w:val="0"/>
          <w:divBdr>
            <w:top w:val="none" w:sz="0" w:space="0" w:color="auto"/>
            <w:left w:val="none" w:sz="0" w:space="0" w:color="auto"/>
            <w:bottom w:val="none" w:sz="0" w:space="0" w:color="auto"/>
            <w:right w:val="none" w:sz="0" w:space="0" w:color="auto"/>
          </w:divBdr>
          <w:divsChild>
            <w:div w:id="204428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44511">
      <w:bodyDiv w:val="1"/>
      <w:marLeft w:val="0"/>
      <w:marRight w:val="0"/>
      <w:marTop w:val="0"/>
      <w:marBottom w:val="0"/>
      <w:divBdr>
        <w:top w:val="none" w:sz="0" w:space="0" w:color="auto"/>
        <w:left w:val="none" w:sz="0" w:space="0" w:color="auto"/>
        <w:bottom w:val="none" w:sz="0" w:space="0" w:color="auto"/>
        <w:right w:val="none" w:sz="0" w:space="0" w:color="auto"/>
      </w:divBdr>
      <w:divsChild>
        <w:div w:id="832338803">
          <w:marLeft w:val="0"/>
          <w:marRight w:val="0"/>
          <w:marTop w:val="0"/>
          <w:marBottom w:val="0"/>
          <w:divBdr>
            <w:top w:val="none" w:sz="0" w:space="0" w:color="auto"/>
            <w:left w:val="none" w:sz="0" w:space="0" w:color="auto"/>
            <w:bottom w:val="none" w:sz="0" w:space="0" w:color="auto"/>
            <w:right w:val="none" w:sz="0" w:space="0" w:color="auto"/>
          </w:divBdr>
          <w:divsChild>
            <w:div w:id="19688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65557">
      <w:bodyDiv w:val="1"/>
      <w:marLeft w:val="0"/>
      <w:marRight w:val="0"/>
      <w:marTop w:val="0"/>
      <w:marBottom w:val="0"/>
      <w:divBdr>
        <w:top w:val="none" w:sz="0" w:space="0" w:color="auto"/>
        <w:left w:val="none" w:sz="0" w:space="0" w:color="auto"/>
        <w:bottom w:val="none" w:sz="0" w:space="0" w:color="auto"/>
        <w:right w:val="none" w:sz="0" w:space="0" w:color="auto"/>
      </w:divBdr>
    </w:div>
    <w:div w:id="611327950">
      <w:bodyDiv w:val="1"/>
      <w:marLeft w:val="0"/>
      <w:marRight w:val="0"/>
      <w:marTop w:val="0"/>
      <w:marBottom w:val="0"/>
      <w:divBdr>
        <w:top w:val="none" w:sz="0" w:space="0" w:color="auto"/>
        <w:left w:val="none" w:sz="0" w:space="0" w:color="auto"/>
        <w:bottom w:val="none" w:sz="0" w:space="0" w:color="auto"/>
        <w:right w:val="none" w:sz="0" w:space="0" w:color="auto"/>
      </w:divBdr>
    </w:div>
    <w:div w:id="626812475">
      <w:bodyDiv w:val="1"/>
      <w:marLeft w:val="0"/>
      <w:marRight w:val="0"/>
      <w:marTop w:val="0"/>
      <w:marBottom w:val="0"/>
      <w:divBdr>
        <w:top w:val="none" w:sz="0" w:space="0" w:color="auto"/>
        <w:left w:val="none" w:sz="0" w:space="0" w:color="auto"/>
        <w:bottom w:val="none" w:sz="0" w:space="0" w:color="auto"/>
        <w:right w:val="none" w:sz="0" w:space="0" w:color="auto"/>
      </w:divBdr>
      <w:divsChild>
        <w:div w:id="1509952817">
          <w:marLeft w:val="0"/>
          <w:marRight w:val="0"/>
          <w:marTop w:val="0"/>
          <w:marBottom w:val="0"/>
          <w:divBdr>
            <w:top w:val="none" w:sz="0" w:space="0" w:color="auto"/>
            <w:left w:val="none" w:sz="0" w:space="0" w:color="auto"/>
            <w:bottom w:val="none" w:sz="0" w:space="0" w:color="auto"/>
            <w:right w:val="none" w:sz="0" w:space="0" w:color="auto"/>
          </w:divBdr>
          <w:divsChild>
            <w:div w:id="703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3817">
      <w:bodyDiv w:val="1"/>
      <w:marLeft w:val="0"/>
      <w:marRight w:val="0"/>
      <w:marTop w:val="0"/>
      <w:marBottom w:val="0"/>
      <w:divBdr>
        <w:top w:val="none" w:sz="0" w:space="0" w:color="auto"/>
        <w:left w:val="none" w:sz="0" w:space="0" w:color="auto"/>
        <w:bottom w:val="none" w:sz="0" w:space="0" w:color="auto"/>
        <w:right w:val="none" w:sz="0" w:space="0" w:color="auto"/>
      </w:divBdr>
    </w:div>
    <w:div w:id="672993383">
      <w:bodyDiv w:val="1"/>
      <w:marLeft w:val="0"/>
      <w:marRight w:val="0"/>
      <w:marTop w:val="0"/>
      <w:marBottom w:val="0"/>
      <w:divBdr>
        <w:top w:val="none" w:sz="0" w:space="0" w:color="auto"/>
        <w:left w:val="none" w:sz="0" w:space="0" w:color="auto"/>
        <w:bottom w:val="none" w:sz="0" w:space="0" w:color="auto"/>
        <w:right w:val="none" w:sz="0" w:space="0" w:color="auto"/>
      </w:divBdr>
      <w:divsChild>
        <w:div w:id="428550601">
          <w:marLeft w:val="0"/>
          <w:marRight w:val="0"/>
          <w:marTop w:val="0"/>
          <w:marBottom w:val="0"/>
          <w:divBdr>
            <w:top w:val="none" w:sz="0" w:space="0" w:color="auto"/>
            <w:left w:val="none" w:sz="0" w:space="0" w:color="auto"/>
            <w:bottom w:val="none" w:sz="0" w:space="0" w:color="auto"/>
            <w:right w:val="none" w:sz="0" w:space="0" w:color="auto"/>
          </w:divBdr>
          <w:divsChild>
            <w:div w:id="12897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0456">
      <w:bodyDiv w:val="1"/>
      <w:marLeft w:val="0"/>
      <w:marRight w:val="0"/>
      <w:marTop w:val="0"/>
      <w:marBottom w:val="0"/>
      <w:divBdr>
        <w:top w:val="none" w:sz="0" w:space="0" w:color="auto"/>
        <w:left w:val="none" w:sz="0" w:space="0" w:color="auto"/>
        <w:bottom w:val="none" w:sz="0" w:space="0" w:color="auto"/>
        <w:right w:val="none" w:sz="0" w:space="0" w:color="auto"/>
      </w:divBdr>
    </w:div>
    <w:div w:id="799767679">
      <w:bodyDiv w:val="1"/>
      <w:marLeft w:val="0"/>
      <w:marRight w:val="0"/>
      <w:marTop w:val="0"/>
      <w:marBottom w:val="0"/>
      <w:divBdr>
        <w:top w:val="none" w:sz="0" w:space="0" w:color="auto"/>
        <w:left w:val="none" w:sz="0" w:space="0" w:color="auto"/>
        <w:bottom w:val="none" w:sz="0" w:space="0" w:color="auto"/>
        <w:right w:val="none" w:sz="0" w:space="0" w:color="auto"/>
      </w:divBdr>
    </w:div>
    <w:div w:id="887104874">
      <w:bodyDiv w:val="1"/>
      <w:marLeft w:val="0"/>
      <w:marRight w:val="0"/>
      <w:marTop w:val="0"/>
      <w:marBottom w:val="0"/>
      <w:divBdr>
        <w:top w:val="none" w:sz="0" w:space="0" w:color="auto"/>
        <w:left w:val="none" w:sz="0" w:space="0" w:color="auto"/>
        <w:bottom w:val="none" w:sz="0" w:space="0" w:color="auto"/>
        <w:right w:val="none" w:sz="0" w:space="0" w:color="auto"/>
      </w:divBdr>
    </w:div>
    <w:div w:id="906040478">
      <w:bodyDiv w:val="1"/>
      <w:marLeft w:val="0"/>
      <w:marRight w:val="0"/>
      <w:marTop w:val="0"/>
      <w:marBottom w:val="0"/>
      <w:divBdr>
        <w:top w:val="none" w:sz="0" w:space="0" w:color="auto"/>
        <w:left w:val="none" w:sz="0" w:space="0" w:color="auto"/>
        <w:bottom w:val="none" w:sz="0" w:space="0" w:color="auto"/>
        <w:right w:val="none" w:sz="0" w:space="0" w:color="auto"/>
      </w:divBdr>
    </w:div>
    <w:div w:id="914240270">
      <w:bodyDiv w:val="1"/>
      <w:marLeft w:val="0"/>
      <w:marRight w:val="0"/>
      <w:marTop w:val="0"/>
      <w:marBottom w:val="0"/>
      <w:divBdr>
        <w:top w:val="none" w:sz="0" w:space="0" w:color="auto"/>
        <w:left w:val="none" w:sz="0" w:space="0" w:color="auto"/>
        <w:bottom w:val="none" w:sz="0" w:space="0" w:color="auto"/>
        <w:right w:val="none" w:sz="0" w:space="0" w:color="auto"/>
      </w:divBdr>
      <w:divsChild>
        <w:div w:id="1241142054">
          <w:marLeft w:val="0"/>
          <w:marRight w:val="0"/>
          <w:marTop w:val="20"/>
          <w:marBottom w:val="20"/>
          <w:divBdr>
            <w:top w:val="none" w:sz="0" w:space="0" w:color="auto"/>
            <w:left w:val="none" w:sz="0" w:space="0" w:color="auto"/>
            <w:bottom w:val="none" w:sz="0" w:space="0" w:color="auto"/>
            <w:right w:val="none" w:sz="0" w:space="0" w:color="auto"/>
          </w:divBdr>
        </w:div>
      </w:divsChild>
    </w:div>
    <w:div w:id="1024215081">
      <w:bodyDiv w:val="1"/>
      <w:marLeft w:val="0"/>
      <w:marRight w:val="0"/>
      <w:marTop w:val="0"/>
      <w:marBottom w:val="0"/>
      <w:divBdr>
        <w:top w:val="none" w:sz="0" w:space="0" w:color="auto"/>
        <w:left w:val="none" w:sz="0" w:space="0" w:color="auto"/>
        <w:bottom w:val="none" w:sz="0" w:space="0" w:color="auto"/>
        <w:right w:val="none" w:sz="0" w:space="0" w:color="auto"/>
      </w:divBdr>
    </w:div>
    <w:div w:id="1041786881">
      <w:bodyDiv w:val="1"/>
      <w:marLeft w:val="0"/>
      <w:marRight w:val="0"/>
      <w:marTop w:val="0"/>
      <w:marBottom w:val="0"/>
      <w:divBdr>
        <w:top w:val="none" w:sz="0" w:space="0" w:color="auto"/>
        <w:left w:val="none" w:sz="0" w:space="0" w:color="auto"/>
        <w:bottom w:val="none" w:sz="0" w:space="0" w:color="auto"/>
        <w:right w:val="none" w:sz="0" w:space="0" w:color="auto"/>
      </w:divBdr>
      <w:divsChild>
        <w:div w:id="1883714302">
          <w:marLeft w:val="0"/>
          <w:marRight w:val="0"/>
          <w:marTop w:val="0"/>
          <w:marBottom w:val="400"/>
          <w:divBdr>
            <w:top w:val="none" w:sz="0" w:space="0" w:color="auto"/>
            <w:left w:val="none" w:sz="0" w:space="0" w:color="auto"/>
            <w:bottom w:val="none" w:sz="0" w:space="0" w:color="auto"/>
            <w:right w:val="none" w:sz="0" w:space="0" w:color="auto"/>
          </w:divBdr>
        </w:div>
      </w:divsChild>
    </w:div>
    <w:div w:id="1091195533">
      <w:bodyDiv w:val="1"/>
      <w:marLeft w:val="0"/>
      <w:marRight w:val="0"/>
      <w:marTop w:val="0"/>
      <w:marBottom w:val="0"/>
      <w:divBdr>
        <w:top w:val="none" w:sz="0" w:space="0" w:color="auto"/>
        <w:left w:val="none" w:sz="0" w:space="0" w:color="auto"/>
        <w:bottom w:val="none" w:sz="0" w:space="0" w:color="auto"/>
        <w:right w:val="none" w:sz="0" w:space="0" w:color="auto"/>
      </w:divBdr>
    </w:div>
    <w:div w:id="1112820716">
      <w:bodyDiv w:val="1"/>
      <w:marLeft w:val="0"/>
      <w:marRight w:val="0"/>
      <w:marTop w:val="0"/>
      <w:marBottom w:val="0"/>
      <w:divBdr>
        <w:top w:val="none" w:sz="0" w:space="0" w:color="auto"/>
        <w:left w:val="none" w:sz="0" w:space="0" w:color="auto"/>
        <w:bottom w:val="none" w:sz="0" w:space="0" w:color="auto"/>
        <w:right w:val="none" w:sz="0" w:space="0" w:color="auto"/>
      </w:divBdr>
    </w:div>
    <w:div w:id="1204512916">
      <w:bodyDiv w:val="1"/>
      <w:marLeft w:val="0"/>
      <w:marRight w:val="0"/>
      <w:marTop w:val="0"/>
      <w:marBottom w:val="0"/>
      <w:divBdr>
        <w:top w:val="none" w:sz="0" w:space="0" w:color="auto"/>
        <w:left w:val="none" w:sz="0" w:space="0" w:color="auto"/>
        <w:bottom w:val="none" w:sz="0" w:space="0" w:color="auto"/>
        <w:right w:val="none" w:sz="0" w:space="0" w:color="auto"/>
      </w:divBdr>
    </w:div>
    <w:div w:id="1277910533">
      <w:bodyDiv w:val="1"/>
      <w:marLeft w:val="0"/>
      <w:marRight w:val="0"/>
      <w:marTop w:val="0"/>
      <w:marBottom w:val="0"/>
      <w:divBdr>
        <w:top w:val="none" w:sz="0" w:space="0" w:color="auto"/>
        <w:left w:val="none" w:sz="0" w:space="0" w:color="auto"/>
        <w:bottom w:val="none" w:sz="0" w:space="0" w:color="auto"/>
        <w:right w:val="none" w:sz="0" w:space="0" w:color="auto"/>
      </w:divBdr>
    </w:div>
    <w:div w:id="1329403535">
      <w:bodyDiv w:val="1"/>
      <w:marLeft w:val="0"/>
      <w:marRight w:val="0"/>
      <w:marTop w:val="0"/>
      <w:marBottom w:val="0"/>
      <w:divBdr>
        <w:top w:val="none" w:sz="0" w:space="0" w:color="auto"/>
        <w:left w:val="none" w:sz="0" w:space="0" w:color="auto"/>
        <w:bottom w:val="none" w:sz="0" w:space="0" w:color="auto"/>
        <w:right w:val="none" w:sz="0" w:space="0" w:color="auto"/>
      </w:divBdr>
    </w:div>
    <w:div w:id="1367675678">
      <w:bodyDiv w:val="1"/>
      <w:marLeft w:val="0"/>
      <w:marRight w:val="0"/>
      <w:marTop w:val="0"/>
      <w:marBottom w:val="0"/>
      <w:divBdr>
        <w:top w:val="none" w:sz="0" w:space="0" w:color="auto"/>
        <w:left w:val="none" w:sz="0" w:space="0" w:color="auto"/>
        <w:bottom w:val="none" w:sz="0" w:space="0" w:color="auto"/>
        <w:right w:val="none" w:sz="0" w:space="0" w:color="auto"/>
      </w:divBdr>
    </w:div>
    <w:div w:id="1372417738">
      <w:bodyDiv w:val="1"/>
      <w:marLeft w:val="0"/>
      <w:marRight w:val="0"/>
      <w:marTop w:val="0"/>
      <w:marBottom w:val="0"/>
      <w:divBdr>
        <w:top w:val="none" w:sz="0" w:space="0" w:color="auto"/>
        <w:left w:val="none" w:sz="0" w:space="0" w:color="auto"/>
        <w:bottom w:val="none" w:sz="0" w:space="0" w:color="auto"/>
        <w:right w:val="none" w:sz="0" w:space="0" w:color="auto"/>
      </w:divBdr>
      <w:divsChild>
        <w:div w:id="486173497">
          <w:marLeft w:val="0"/>
          <w:marRight w:val="0"/>
          <w:marTop w:val="20"/>
          <w:marBottom w:val="20"/>
          <w:divBdr>
            <w:top w:val="none" w:sz="0" w:space="0" w:color="auto"/>
            <w:left w:val="none" w:sz="0" w:space="0" w:color="auto"/>
            <w:bottom w:val="none" w:sz="0" w:space="0" w:color="auto"/>
            <w:right w:val="none" w:sz="0" w:space="0" w:color="auto"/>
          </w:divBdr>
        </w:div>
      </w:divsChild>
    </w:div>
    <w:div w:id="1576744817">
      <w:bodyDiv w:val="1"/>
      <w:marLeft w:val="0"/>
      <w:marRight w:val="0"/>
      <w:marTop w:val="0"/>
      <w:marBottom w:val="0"/>
      <w:divBdr>
        <w:top w:val="none" w:sz="0" w:space="0" w:color="auto"/>
        <w:left w:val="none" w:sz="0" w:space="0" w:color="auto"/>
        <w:bottom w:val="none" w:sz="0" w:space="0" w:color="auto"/>
        <w:right w:val="none" w:sz="0" w:space="0" w:color="auto"/>
      </w:divBdr>
    </w:div>
    <w:div w:id="1605073170">
      <w:bodyDiv w:val="1"/>
      <w:marLeft w:val="0"/>
      <w:marRight w:val="0"/>
      <w:marTop w:val="0"/>
      <w:marBottom w:val="0"/>
      <w:divBdr>
        <w:top w:val="none" w:sz="0" w:space="0" w:color="auto"/>
        <w:left w:val="none" w:sz="0" w:space="0" w:color="auto"/>
        <w:bottom w:val="none" w:sz="0" w:space="0" w:color="auto"/>
        <w:right w:val="none" w:sz="0" w:space="0" w:color="auto"/>
      </w:divBdr>
      <w:divsChild>
        <w:div w:id="1394424405">
          <w:marLeft w:val="0"/>
          <w:marRight w:val="0"/>
          <w:marTop w:val="0"/>
          <w:marBottom w:val="0"/>
          <w:divBdr>
            <w:top w:val="none" w:sz="0" w:space="0" w:color="auto"/>
            <w:left w:val="none" w:sz="0" w:space="0" w:color="auto"/>
            <w:bottom w:val="none" w:sz="0" w:space="0" w:color="auto"/>
            <w:right w:val="none" w:sz="0" w:space="0" w:color="auto"/>
          </w:divBdr>
          <w:divsChild>
            <w:div w:id="256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1668">
      <w:bodyDiv w:val="1"/>
      <w:marLeft w:val="0"/>
      <w:marRight w:val="0"/>
      <w:marTop w:val="0"/>
      <w:marBottom w:val="0"/>
      <w:divBdr>
        <w:top w:val="none" w:sz="0" w:space="0" w:color="auto"/>
        <w:left w:val="none" w:sz="0" w:space="0" w:color="auto"/>
        <w:bottom w:val="none" w:sz="0" w:space="0" w:color="auto"/>
        <w:right w:val="none" w:sz="0" w:space="0" w:color="auto"/>
      </w:divBdr>
    </w:div>
    <w:div w:id="1802796925">
      <w:bodyDiv w:val="1"/>
      <w:marLeft w:val="0"/>
      <w:marRight w:val="0"/>
      <w:marTop w:val="0"/>
      <w:marBottom w:val="0"/>
      <w:divBdr>
        <w:top w:val="none" w:sz="0" w:space="0" w:color="auto"/>
        <w:left w:val="none" w:sz="0" w:space="0" w:color="auto"/>
        <w:bottom w:val="none" w:sz="0" w:space="0" w:color="auto"/>
        <w:right w:val="none" w:sz="0" w:space="0" w:color="auto"/>
      </w:divBdr>
    </w:div>
    <w:div w:id="1872061640">
      <w:bodyDiv w:val="1"/>
      <w:marLeft w:val="0"/>
      <w:marRight w:val="0"/>
      <w:marTop w:val="0"/>
      <w:marBottom w:val="0"/>
      <w:divBdr>
        <w:top w:val="none" w:sz="0" w:space="0" w:color="auto"/>
        <w:left w:val="none" w:sz="0" w:space="0" w:color="auto"/>
        <w:bottom w:val="none" w:sz="0" w:space="0" w:color="auto"/>
        <w:right w:val="none" w:sz="0" w:space="0" w:color="auto"/>
      </w:divBdr>
    </w:div>
    <w:div w:id="1981425461">
      <w:bodyDiv w:val="1"/>
      <w:marLeft w:val="0"/>
      <w:marRight w:val="0"/>
      <w:marTop w:val="0"/>
      <w:marBottom w:val="0"/>
      <w:divBdr>
        <w:top w:val="none" w:sz="0" w:space="0" w:color="auto"/>
        <w:left w:val="none" w:sz="0" w:space="0" w:color="auto"/>
        <w:bottom w:val="none" w:sz="0" w:space="0" w:color="auto"/>
        <w:right w:val="none" w:sz="0" w:space="0" w:color="auto"/>
      </w:divBdr>
    </w:div>
    <w:div w:id="212022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MHDesktop</dc:creator>
  <cp:keywords/>
  <dc:description/>
  <cp:lastModifiedBy>MHDesktop</cp:lastModifiedBy>
  <cp:revision>17</cp:revision>
  <dcterms:created xsi:type="dcterms:W3CDTF">2024-06-02T02:01:00Z</dcterms:created>
  <dcterms:modified xsi:type="dcterms:W3CDTF">2024-12-07T17:48:00Z</dcterms:modified>
</cp:coreProperties>
</file>