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4D40D0" w:rsidRPr="004D40D0" w14:paraId="21F10888" w14:textId="77777777" w:rsidTr="004D40D0">
        <w:tc>
          <w:tcPr>
            <w:tcW w:w="5683" w:type="dxa"/>
            <w:shd w:val="clear" w:color="auto" w:fill="173460"/>
          </w:tcPr>
          <w:p w14:paraId="2C053031" w14:textId="77777777" w:rsidR="004D40D0" w:rsidRPr="004D40D0" w:rsidRDefault="004D40D0">
            <w:pPr>
              <w:rPr>
                <w:rFonts w:ascii="Arial" w:hAnsi="Arial" w:cs="Arial"/>
                <w:sz w:val="4"/>
                <w:szCs w:val="4"/>
              </w:rPr>
            </w:pPr>
          </w:p>
        </w:tc>
        <w:tc>
          <w:tcPr>
            <w:tcW w:w="5683" w:type="dxa"/>
            <w:shd w:val="clear" w:color="auto" w:fill="173460"/>
          </w:tcPr>
          <w:p w14:paraId="5E168B76" w14:textId="77777777" w:rsidR="004D40D0" w:rsidRPr="004D40D0" w:rsidRDefault="004D40D0">
            <w:pPr>
              <w:rPr>
                <w:rFonts w:ascii="Arial" w:hAnsi="Arial" w:cs="Arial"/>
                <w:sz w:val="4"/>
                <w:szCs w:val="4"/>
              </w:rPr>
            </w:pPr>
          </w:p>
        </w:tc>
      </w:tr>
      <w:tr w:rsidR="004D40D0" w:rsidRPr="004D40D0" w14:paraId="485E3C5E" w14:textId="77777777" w:rsidTr="004D40D0">
        <w:tc>
          <w:tcPr>
            <w:tcW w:w="5683" w:type="dxa"/>
          </w:tcPr>
          <w:p w14:paraId="36E11B01" w14:textId="77777777" w:rsidR="004D40D0" w:rsidRPr="004D40D0" w:rsidRDefault="004D40D0">
            <w:pPr>
              <w:rPr>
                <w:rFonts w:ascii="Arial" w:hAnsi="Arial" w:cs="Arial"/>
                <w:sz w:val="4"/>
                <w:szCs w:val="4"/>
              </w:rPr>
            </w:pPr>
          </w:p>
        </w:tc>
        <w:tc>
          <w:tcPr>
            <w:tcW w:w="5683" w:type="dxa"/>
          </w:tcPr>
          <w:p w14:paraId="74D5C7C8" w14:textId="77777777" w:rsidR="004D40D0" w:rsidRPr="004D40D0" w:rsidRDefault="004D40D0">
            <w:pPr>
              <w:rPr>
                <w:rFonts w:ascii="Arial" w:hAnsi="Arial" w:cs="Arial"/>
                <w:sz w:val="4"/>
                <w:szCs w:val="4"/>
              </w:rPr>
            </w:pPr>
          </w:p>
        </w:tc>
      </w:tr>
      <w:tr w:rsidR="004D40D0" w:rsidRPr="004D40D0" w14:paraId="47D38483" w14:textId="77777777" w:rsidTr="004D40D0">
        <w:tc>
          <w:tcPr>
            <w:tcW w:w="5683" w:type="dxa"/>
            <w:shd w:val="clear" w:color="auto" w:fill="173460"/>
          </w:tcPr>
          <w:p w14:paraId="623EAD99" w14:textId="3BD74FF0" w:rsidR="004D40D0" w:rsidRPr="004D40D0" w:rsidRDefault="004D40D0" w:rsidP="000C798F">
            <w:pPr>
              <w:rPr>
                <w:rFonts w:ascii="Arial" w:hAnsi="Arial" w:cs="Arial"/>
              </w:rPr>
            </w:pPr>
            <w:r w:rsidRPr="004D40D0">
              <w:rPr>
                <w:rFonts w:ascii="Arial" w:hAnsi="Arial" w:cs="Arial"/>
                <w:noProof/>
              </w:rPr>
              <w:drawing>
                <wp:inline distT="0" distB="0" distL="0" distR="0" wp14:anchorId="7F188361" wp14:editId="6A751353">
                  <wp:extent cx="1412875" cy="740854"/>
                  <wp:effectExtent l="0" t="0" r="0" b="2540"/>
                  <wp:docPr id="1593291296" name="Picture 4" descr="RBC Capital Markets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BC Capital Markets | Fierce Healthcare"/>
                          <pic:cNvPicPr>
                            <a:picLocks noChangeAspect="1" noChangeArrowheads="1"/>
                          </pic:cNvPicPr>
                        </pic:nvPicPr>
                        <pic:blipFill rotWithShape="1">
                          <a:blip r:embed="rId7">
                            <a:extLst>
                              <a:ext uri="{28A0092B-C50C-407E-A947-70E740481C1C}">
                                <a14:useLocalDpi xmlns:a14="http://schemas.microsoft.com/office/drawing/2010/main" val="0"/>
                              </a:ext>
                            </a:extLst>
                          </a:blip>
                          <a:srcRect t="23205" b="24359"/>
                          <a:stretch/>
                        </pic:blipFill>
                        <pic:spPr bwMode="auto">
                          <a:xfrm>
                            <a:off x="0" y="0"/>
                            <a:ext cx="1431301" cy="7505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83" w:type="dxa"/>
            <w:shd w:val="clear" w:color="auto" w:fill="173460"/>
          </w:tcPr>
          <w:p w14:paraId="17BF1F8E" w14:textId="77777777" w:rsidR="004D40D0" w:rsidRPr="004D40D0" w:rsidRDefault="004D40D0" w:rsidP="004D40D0">
            <w:pPr>
              <w:jc w:val="right"/>
              <w:rPr>
                <w:rFonts w:ascii="Arial" w:hAnsi="Arial" w:cs="Arial"/>
                <w:b/>
                <w:bCs/>
              </w:rPr>
            </w:pPr>
            <w:r w:rsidRPr="004D40D0">
              <w:rPr>
                <w:rFonts w:ascii="Arial" w:hAnsi="Arial" w:cs="Arial"/>
                <w:b/>
                <w:bCs/>
              </w:rPr>
              <w:t>Filed Pursuant to Rule 424(b)(2)</w:t>
            </w:r>
          </w:p>
          <w:p w14:paraId="1996C36A" w14:textId="1A2A3DD7" w:rsidR="004D40D0" w:rsidRPr="004D40D0" w:rsidRDefault="004D40D0" w:rsidP="004D40D0">
            <w:pPr>
              <w:jc w:val="right"/>
              <w:rPr>
                <w:rFonts w:ascii="Arial" w:hAnsi="Arial" w:cs="Arial"/>
                <w:b/>
                <w:bCs/>
              </w:rPr>
            </w:pPr>
            <w:r w:rsidRPr="004D40D0">
              <w:rPr>
                <w:rFonts w:ascii="Arial" w:hAnsi="Arial" w:cs="Arial"/>
                <w:b/>
                <w:bCs/>
              </w:rPr>
              <w:t>Registration Statement No. 333-275898</w:t>
            </w:r>
          </w:p>
        </w:tc>
      </w:tr>
    </w:tbl>
    <w:p w14:paraId="749E483D" w14:textId="6827355B" w:rsidR="0044763B" w:rsidRPr="004D40D0" w:rsidRDefault="0044763B" w:rsidP="004D40D0">
      <w:pPr>
        <w:spacing w:after="0"/>
        <w:rPr>
          <w:rFonts w:ascii="Arial" w:hAnsi="Arial" w:cs="Arial"/>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6C95"/>
        <w:tblLook w:val="04A0" w:firstRow="1" w:lastRow="0" w:firstColumn="1" w:lastColumn="0" w:noHBand="0" w:noVBand="1"/>
      </w:tblPr>
      <w:tblGrid>
        <w:gridCol w:w="11366"/>
      </w:tblGrid>
      <w:tr w:rsidR="004D40D0" w:rsidRPr="004D40D0" w14:paraId="29043E9A" w14:textId="77777777" w:rsidTr="00F51AB9">
        <w:trPr>
          <w:trHeight w:val="576"/>
        </w:trPr>
        <w:tc>
          <w:tcPr>
            <w:tcW w:w="11366" w:type="dxa"/>
            <w:shd w:val="clear" w:color="auto" w:fill="4A6C95"/>
          </w:tcPr>
          <w:p w14:paraId="79F6113D" w14:textId="77777777" w:rsidR="004D40D0" w:rsidRPr="00F51AB9" w:rsidRDefault="004D40D0">
            <w:pPr>
              <w:rPr>
                <w:rFonts w:ascii="Arial" w:eastAsia="Times New Roman" w:hAnsi="Arial" w:cs="Arial"/>
                <w:color w:val="FFFFFF"/>
                <w:sz w:val="14"/>
                <w:szCs w:val="14"/>
                <w:shd w:val="clear" w:color="auto" w:fill="4A6C95"/>
              </w:rPr>
            </w:pPr>
          </w:p>
          <w:p w14:paraId="57D3A7CE" w14:textId="77777777" w:rsidR="004D40D0" w:rsidRDefault="004D40D0">
            <w:pPr>
              <w:rPr>
                <w:rFonts w:ascii="Arial" w:eastAsia="Times New Roman" w:hAnsi="Arial" w:cs="Arial"/>
                <w:color w:val="FFFFFF"/>
                <w:sz w:val="18"/>
                <w:szCs w:val="18"/>
                <w:shd w:val="clear" w:color="auto" w:fill="4A6C95"/>
              </w:rPr>
            </w:pPr>
            <w:r w:rsidRPr="00650319">
              <w:rPr>
                <w:rFonts w:ascii="Arial" w:eastAsia="Times New Roman" w:hAnsi="Arial" w:cs="Arial"/>
                <w:color w:val="FFFFFF"/>
                <w:sz w:val="18"/>
                <w:szCs w:val="18"/>
                <w:shd w:val="clear" w:color="auto" w:fill="4A6C95"/>
              </w:rPr>
              <w:t>The information in this preliminary terms supplement is not complete and may be changed</w:t>
            </w:r>
          </w:p>
          <w:p w14:paraId="342921D9" w14:textId="5DED76DE" w:rsidR="004D40D0" w:rsidRPr="00F51AB9" w:rsidRDefault="004D40D0">
            <w:pPr>
              <w:rPr>
                <w:rFonts w:ascii="Arial" w:hAnsi="Arial" w:cs="Arial"/>
                <w:sz w:val="14"/>
                <w:szCs w:val="14"/>
              </w:rPr>
            </w:pPr>
          </w:p>
        </w:tc>
      </w:tr>
    </w:tbl>
    <w:p w14:paraId="2B5B75F6" w14:textId="7C73CDC7" w:rsidR="004D40D0" w:rsidRPr="004D40D0" w:rsidRDefault="004D40D0" w:rsidP="004D40D0">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4D9"/>
        <w:tblLook w:val="04A0" w:firstRow="1" w:lastRow="0" w:firstColumn="1" w:lastColumn="0" w:noHBand="0" w:noVBand="1"/>
      </w:tblPr>
      <w:tblGrid>
        <w:gridCol w:w="5670"/>
        <w:gridCol w:w="270"/>
        <w:gridCol w:w="5426"/>
      </w:tblGrid>
      <w:tr w:rsidR="004D40D0" w14:paraId="6D7ED577" w14:textId="77777777" w:rsidTr="00F51AB9">
        <w:trPr>
          <w:trHeight w:val="126"/>
        </w:trPr>
        <w:tc>
          <w:tcPr>
            <w:tcW w:w="5670" w:type="dxa"/>
            <w:shd w:val="clear" w:color="auto" w:fill="B8C4D9"/>
          </w:tcPr>
          <w:p w14:paraId="6CC9A3BB" w14:textId="77777777" w:rsidR="004D40D0" w:rsidRPr="00F51AB9" w:rsidRDefault="004D40D0">
            <w:pPr>
              <w:rPr>
                <w:sz w:val="14"/>
                <w:szCs w:val="14"/>
              </w:rPr>
            </w:pPr>
          </w:p>
        </w:tc>
        <w:tc>
          <w:tcPr>
            <w:tcW w:w="270" w:type="dxa"/>
            <w:shd w:val="clear" w:color="auto" w:fill="B8C4D9"/>
          </w:tcPr>
          <w:p w14:paraId="56ADAC15" w14:textId="1D76ACA3" w:rsidR="004D40D0" w:rsidRPr="00F51AB9" w:rsidRDefault="004D40D0">
            <w:pPr>
              <w:rPr>
                <w:sz w:val="14"/>
                <w:szCs w:val="14"/>
              </w:rPr>
            </w:pPr>
          </w:p>
        </w:tc>
        <w:tc>
          <w:tcPr>
            <w:tcW w:w="5426" w:type="dxa"/>
            <w:tcBorders>
              <w:bottom w:val="single" w:sz="18" w:space="0" w:color="FFFFFF" w:themeColor="background1"/>
            </w:tcBorders>
            <w:shd w:val="clear" w:color="auto" w:fill="B8C4D9"/>
          </w:tcPr>
          <w:p w14:paraId="5FAF91F2" w14:textId="77777777" w:rsidR="004D40D0" w:rsidRPr="00F51AB9" w:rsidRDefault="004D40D0">
            <w:pPr>
              <w:rPr>
                <w:sz w:val="14"/>
                <w:szCs w:val="14"/>
              </w:rPr>
            </w:pPr>
          </w:p>
        </w:tc>
      </w:tr>
      <w:tr w:rsidR="004D40D0" w14:paraId="08C4A63D" w14:textId="77777777" w:rsidTr="0075587A">
        <w:tc>
          <w:tcPr>
            <w:tcW w:w="5670" w:type="dxa"/>
            <w:shd w:val="clear" w:color="auto" w:fill="B8C4D9"/>
          </w:tcPr>
          <w:p w14:paraId="3D9AD195" w14:textId="77777777" w:rsidR="004D40D0" w:rsidRPr="00650319" w:rsidRDefault="004D40D0" w:rsidP="004D40D0">
            <w:pPr>
              <w:rPr>
                <w:rFonts w:ascii="Arial" w:eastAsia="Times New Roman" w:hAnsi="Arial" w:cs="Arial"/>
                <w:color w:val="17365D"/>
                <w:sz w:val="32"/>
                <w:szCs w:val="32"/>
              </w:rPr>
            </w:pPr>
            <w:r w:rsidRPr="00650319">
              <w:rPr>
                <w:rFonts w:ascii="Arial" w:eastAsia="Times New Roman" w:hAnsi="Arial" w:cs="Arial"/>
                <w:color w:val="17365D"/>
                <w:sz w:val="32"/>
                <w:szCs w:val="32"/>
              </w:rPr>
              <w:t>Preliminary Terms Supplement</w:t>
            </w:r>
          </w:p>
          <w:p w14:paraId="7767217C" w14:textId="77777777"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Subject to Completion:</w:t>
            </w:r>
          </w:p>
          <w:p w14:paraId="4A7C8284" w14:textId="07C5F0BB"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 xml:space="preserve">Dated </w:t>
            </w:r>
            <w:r w:rsidR="00050E1B">
              <w:rPr>
                <w:rFonts w:ascii="Arial" w:eastAsia="Times New Roman" w:hAnsi="Arial" w:cs="Arial"/>
                <w:sz w:val="24"/>
                <w:szCs w:val="24"/>
              </w:rPr>
              <w:t>{</w:t>
            </w:r>
            <w:r w:rsidR="000839F7">
              <w:rPr>
                <w:rFonts w:ascii="Arial" w:eastAsia="Times New Roman" w:hAnsi="Arial" w:cs="Arial"/>
                <w:sz w:val="24"/>
                <w:szCs w:val="24"/>
              </w:rPr>
              <w:t>doc_date</w:t>
            </w:r>
            <w:r w:rsidR="00050E1B">
              <w:rPr>
                <w:rFonts w:ascii="Arial" w:eastAsia="Times New Roman" w:hAnsi="Arial" w:cs="Arial"/>
                <w:sz w:val="24"/>
                <w:szCs w:val="24"/>
              </w:rPr>
              <w:t>}</w:t>
            </w:r>
          </w:p>
          <w:p w14:paraId="21ED08C8" w14:textId="25A7CE28" w:rsidR="004D40D0" w:rsidRDefault="004D40D0" w:rsidP="004D40D0">
            <w:r w:rsidRPr="00650319">
              <w:rPr>
                <w:rFonts w:ascii="Arial" w:eastAsia="Times New Roman" w:hAnsi="Arial" w:cs="Arial"/>
                <w:sz w:val="18"/>
                <w:szCs w:val="18"/>
              </w:rPr>
              <w:t>Pricing Supplement Dated May __, 2024 to the Product Prospectus Supplement ERN-EI-1, Prospectus Supplement, and Prospectus, Each Dated December 20, 2023</w:t>
            </w:r>
          </w:p>
        </w:tc>
        <w:tc>
          <w:tcPr>
            <w:tcW w:w="270" w:type="dxa"/>
            <w:tcBorders>
              <w:right w:val="single" w:sz="18" w:space="0" w:color="FFFFFF" w:themeColor="background1"/>
            </w:tcBorders>
            <w:shd w:val="clear" w:color="auto" w:fill="B8C4D9"/>
          </w:tcPr>
          <w:p w14:paraId="35D02D4B" w14:textId="117072B3" w:rsidR="004D40D0" w:rsidRDefault="004D40D0"/>
        </w:tc>
        <w:tc>
          <w:tcPr>
            <w:tcW w:w="5426" w:type="dxa"/>
            <w:tcBorders>
              <w:top w:val="single" w:sz="18" w:space="0" w:color="FFFFFF" w:themeColor="background1"/>
              <w:left w:val="single" w:sz="18" w:space="0" w:color="FFFFFF" w:themeColor="background1"/>
              <w:bottom w:val="single" w:sz="18" w:space="0" w:color="FFFFFF" w:themeColor="background1"/>
            </w:tcBorders>
            <w:shd w:val="clear" w:color="auto" w:fill="E2E7F0"/>
          </w:tcPr>
          <w:p w14:paraId="0E6661DA" w14:textId="4935EBA4" w:rsidR="004D40D0" w:rsidRDefault="004D40D0">
            <w:r w:rsidRPr="00650319">
              <w:rPr>
                <w:rFonts w:ascii="Arial" w:eastAsia="Times New Roman" w:hAnsi="Arial" w:cs="Arial"/>
                <w:color w:val="17365D"/>
              </w:rPr>
              <w:t>$</w:t>
            </w:r>
            <w:r w:rsidR="00CF4C55">
              <w:rPr>
                <w:rFonts w:ascii="Arial" w:eastAsia="Times New Roman" w:hAnsi="Arial" w:cs="Arial"/>
                <w:color w:val="17365D"/>
              </w:rPr>
              <w:t>{</w:t>
            </w:r>
            <w:r w:rsidR="00CF4C55" w:rsidRPr="00CF4C55">
              <w:rPr>
                <w:rFonts w:ascii="Arial" w:eastAsia="Times New Roman" w:hAnsi="Arial" w:cs="Arial"/>
                <w:color w:val="17365D"/>
              </w:rPr>
              <w:t>notional</w:t>
            </w:r>
            <w:r w:rsidR="00CF4C55">
              <w:rPr>
                <w:rFonts w:ascii="Arial" w:eastAsia="Times New Roman" w:hAnsi="Arial" w:cs="Arial"/>
                <w:color w:val="17365D"/>
              </w:rPr>
              <w:t>}</w:t>
            </w:r>
            <w:r w:rsidRPr="00650319">
              <w:rPr>
                <w:rFonts w:ascii="Arial" w:eastAsia="Times New Roman" w:hAnsi="Arial" w:cs="Arial"/>
                <w:color w:val="17365D"/>
              </w:rPr>
              <w:br/>
              <w:t>Auto-Callable Barrier Enhanced Return Notes</w:t>
            </w:r>
            <w:r w:rsidRPr="00650319">
              <w:rPr>
                <w:rFonts w:ascii="Arial" w:eastAsia="Times New Roman" w:hAnsi="Arial" w:cs="Arial"/>
                <w:color w:val="17365D"/>
              </w:rPr>
              <w:br/>
              <w:t xml:space="preserve">Linked to the </w:t>
            </w:r>
            <w:r w:rsidR="00DE22E3">
              <w:rPr>
                <w:rFonts w:ascii="Arial" w:eastAsia="Times New Roman" w:hAnsi="Arial" w:cs="Arial"/>
                <w:color w:val="17365D"/>
              </w:rPr>
              <w:t>{underlierName}</w:t>
            </w:r>
            <w:r w:rsidRPr="00650319">
              <w:rPr>
                <w:rFonts w:ascii="Arial" w:eastAsia="Times New Roman" w:hAnsi="Arial" w:cs="Arial"/>
                <w:color w:val="17365D"/>
              </w:rPr>
              <w:t>, Due</w:t>
            </w:r>
            <w:r w:rsidRPr="00650319">
              <w:rPr>
                <w:rFonts w:ascii="Arial" w:eastAsia="Times New Roman" w:hAnsi="Arial" w:cs="Arial"/>
                <w:color w:val="17365D"/>
              </w:rPr>
              <w:br/>
              <w:t>June 3, 2027</w:t>
            </w:r>
            <w:r w:rsidRPr="00650319">
              <w:rPr>
                <w:rFonts w:ascii="Arial" w:eastAsia="Times New Roman" w:hAnsi="Arial" w:cs="Arial"/>
                <w:color w:val="17365D"/>
              </w:rPr>
              <w:br/>
              <w:t>Royal Bank of Canada</w:t>
            </w:r>
          </w:p>
        </w:tc>
      </w:tr>
      <w:tr w:rsidR="004D40D0" w14:paraId="4B6ED2B3" w14:textId="77777777" w:rsidTr="0075587A">
        <w:tc>
          <w:tcPr>
            <w:tcW w:w="5670" w:type="dxa"/>
            <w:shd w:val="clear" w:color="auto" w:fill="B8C4D9"/>
          </w:tcPr>
          <w:p w14:paraId="1BB1DCCD" w14:textId="77777777" w:rsidR="004D40D0" w:rsidRPr="00F51AB9" w:rsidRDefault="004D40D0">
            <w:pPr>
              <w:rPr>
                <w:sz w:val="14"/>
                <w:szCs w:val="14"/>
              </w:rPr>
            </w:pPr>
          </w:p>
        </w:tc>
        <w:tc>
          <w:tcPr>
            <w:tcW w:w="270" w:type="dxa"/>
            <w:shd w:val="clear" w:color="auto" w:fill="B8C4D9"/>
          </w:tcPr>
          <w:p w14:paraId="7B2A34EB" w14:textId="1C26E87E" w:rsidR="004D40D0" w:rsidRPr="00F51AB9" w:rsidRDefault="004D40D0">
            <w:pPr>
              <w:rPr>
                <w:sz w:val="14"/>
                <w:szCs w:val="14"/>
              </w:rPr>
            </w:pPr>
          </w:p>
        </w:tc>
        <w:tc>
          <w:tcPr>
            <w:tcW w:w="5426" w:type="dxa"/>
            <w:tcBorders>
              <w:top w:val="single" w:sz="18" w:space="0" w:color="FFFFFF" w:themeColor="background1"/>
            </w:tcBorders>
            <w:shd w:val="clear" w:color="auto" w:fill="B8C4D9"/>
          </w:tcPr>
          <w:p w14:paraId="1D3D1582" w14:textId="77777777" w:rsidR="004D40D0" w:rsidRPr="00F51AB9" w:rsidRDefault="004D40D0">
            <w:pPr>
              <w:rPr>
                <w:sz w:val="14"/>
                <w:szCs w:val="14"/>
              </w:rPr>
            </w:pPr>
          </w:p>
        </w:tc>
      </w:tr>
    </w:tbl>
    <w:p w14:paraId="26FC9FC2" w14:textId="77777777" w:rsidR="004D40D0" w:rsidRPr="00650319" w:rsidRDefault="004D40D0" w:rsidP="004D40D0">
      <w:pPr>
        <w:spacing w:after="0" w:line="240" w:lineRule="auto"/>
        <w:rPr>
          <w:rFonts w:ascii="Arial" w:eastAsia="Times New Roman" w:hAnsi="Arial" w:cs="Arial"/>
          <w:sz w:val="4"/>
          <w:szCs w:val="4"/>
        </w:rPr>
      </w:pPr>
    </w:p>
    <w:p w14:paraId="44899970" w14:textId="2CE2C3A4" w:rsidR="004D40D0" w:rsidRPr="00E35A83" w:rsidRDefault="004D40D0" w:rsidP="004D40D0">
      <w:pPr>
        <w:shd w:val="clear" w:color="auto" w:fill="FFFFFF"/>
        <w:spacing w:after="100" w:line="240" w:lineRule="auto"/>
        <w:rPr>
          <w:rFonts w:ascii="Arial" w:eastAsia="Times New Roman" w:hAnsi="Arial" w:cs="Arial"/>
          <w:b/>
          <w:bCs/>
          <w:color w:val="000000"/>
          <w:sz w:val="19"/>
          <w:szCs w:val="19"/>
        </w:rPr>
      </w:pPr>
      <w:r w:rsidRPr="00E35A83">
        <w:rPr>
          <w:rFonts w:ascii="Arial" w:eastAsia="Times New Roman" w:hAnsi="Arial" w:cs="Arial"/>
          <w:b/>
          <w:bCs/>
          <w:color w:val="000000"/>
          <w:sz w:val="19"/>
          <w:szCs w:val="19"/>
        </w:rPr>
        <w:t xml:space="preserve">Royal Bank of Canada is offering Auto-Callable Barrier Enhanced Return Notes (the “Notes”) linked to the performance of the </w:t>
      </w:r>
      <w:r w:rsidR="00DE22E3">
        <w:rPr>
          <w:rFonts w:ascii="Arial" w:eastAsia="Times New Roman" w:hAnsi="Arial" w:cs="Arial"/>
          <w:b/>
          <w:bCs/>
          <w:color w:val="000000"/>
          <w:sz w:val="19"/>
          <w:szCs w:val="19"/>
        </w:rPr>
        <w:t>{underlierName}</w:t>
      </w:r>
      <w:r w:rsidRPr="00E35A83">
        <w:rPr>
          <w:rFonts w:ascii="Arial" w:eastAsia="Times New Roman" w:hAnsi="Arial" w:cs="Arial"/>
          <w:b/>
          <w:bCs/>
          <w:color w:val="000000"/>
          <w:sz w:val="19"/>
          <w:szCs w:val="19"/>
        </w:rPr>
        <w:t xml:space="preserve"> (the “Reference Asset”).</w:t>
      </w:r>
    </w:p>
    <w:tbl>
      <w:tblPr>
        <w:tblStyle w:val="TableGrid"/>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85"/>
        <w:gridCol w:w="824"/>
        <w:gridCol w:w="1881"/>
        <w:gridCol w:w="990"/>
        <w:gridCol w:w="3330"/>
        <w:gridCol w:w="295"/>
      </w:tblGrid>
      <w:tr w:rsidR="004D40D0" w14:paraId="3C657660" w14:textId="77777777" w:rsidTr="00ED397B">
        <w:tc>
          <w:tcPr>
            <w:tcW w:w="360" w:type="dxa"/>
          </w:tcPr>
          <w:p w14:paraId="62971C39" w14:textId="77777777" w:rsidR="004D40D0" w:rsidRDefault="004D40D0" w:rsidP="004D40D0"/>
        </w:tc>
        <w:tc>
          <w:tcPr>
            <w:tcW w:w="3685" w:type="dxa"/>
            <w:tcBorders>
              <w:bottom w:val="single" w:sz="8" w:space="0" w:color="000000" w:themeColor="text1"/>
            </w:tcBorders>
            <w:vAlign w:val="bottom"/>
          </w:tcPr>
          <w:p w14:paraId="38C7D40E" w14:textId="2F72A428" w:rsidR="004D40D0" w:rsidRDefault="004D40D0" w:rsidP="00ED397B">
            <w:pPr>
              <w:jc w:val="center"/>
            </w:pPr>
            <w:r w:rsidRPr="00E35A83">
              <w:rPr>
                <w:rFonts w:ascii="Arial" w:eastAsia="Times New Roman" w:hAnsi="Arial" w:cs="Arial"/>
                <w:b/>
                <w:bCs/>
                <w:color w:val="000000"/>
                <w:sz w:val="19"/>
                <w:szCs w:val="19"/>
              </w:rPr>
              <w:t>Reference Asset</w:t>
            </w:r>
          </w:p>
        </w:tc>
        <w:tc>
          <w:tcPr>
            <w:tcW w:w="824" w:type="dxa"/>
          </w:tcPr>
          <w:p w14:paraId="5A22AFB7" w14:textId="60FF2F56" w:rsidR="004D40D0" w:rsidRDefault="004D40D0" w:rsidP="00ED397B">
            <w:pPr>
              <w:jc w:val="center"/>
            </w:pPr>
          </w:p>
        </w:tc>
        <w:tc>
          <w:tcPr>
            <w:tcW w:w="1881" w:type="dxa"/>
            <w:tcBorders>
              <w:bottom w:val="single" w:sz="8" w:space="0" w:color="000000" w:themeColor="text1"/>
            </w:tcBorders>
            <w:vAlign w:val="bottom"/>
          </w:tcPr>
          <w:p w14:paraId="3AD5D951" w14:textId="659A77BE" w:rsidR="004D40D0" w:rsidRDefault="004D40D0" w:rsidP="00ED397B">
            <w:pPr>
              <w:jc w:val="center"/>
            </w:pPr>
            <w:r w:rsidRPr="00E35A83">
              <w:rPr>
                <w:rFonts w:ascii="Arial" w:eastAsia="Times New Roman" w:hAnsi="Arial" w:cs="Arial"/>
                <w:b/>
                <w:bCs/>
                <w:color w:val="000000"/>
                <w:sz w:val="19"/>
                <w:szCs w:val="19"/>
              </w:rPr>
              <w:t>Initial Level*</w:t>
            </w:r>
          </w:p>
        </w:tc>
        <w:tc>
          <w:tcPr>
            <w:tcW w:w="990" w:type="dxa"/>
          </w:tcPr>
          <w:p w14:paraId="7FBBE6BA" w14:textId="587FD331" w:rsidR="004D40D0" w:rsidRDefault="004D40D0" w:rsidP="00ED397B">
            <w:pPr>
              <w:jc w:val="center"/>
            </w:pPr>
          </w:p>
        </w:tc>
        <w:tc>
          <w:tcPr>
            <w:tcW w:w="3330" w:type="dxa"/>
            <w:tcBorders>
              <w:bottom w:val="single" w:sz="8" w:space="0" w:color="000000" w:themeColor="text1"/>
            </w:tcBorders>
            <w:vAlign w:val="bottom"/>
          </w:tcPr>
          <w:p w14:paraId="348B0693" w14:textId="512BCF7E" w:rsidR="004D40D0" w:rsidRDefault="004D40D0" w:rsidP="00ED397B">
            <w:pPr>
              <w:jc w:val="center"/>
            </w:pPr>
            <w:r w:rsidRPr="00E35A83">
              <w:rPr>
                <w:rFonts w:ascii="Arial" w:eastAsia="Times New Roman" w:hAnsi="Arial" w:cs="Arial"/>
                <w:b/>
                <w:bCs/>
                <w:color w:val="000000"/>
                <w:sz w:val="19"/>
                <w:szCs w:val="19"/>
              </w:rPr>
              <w:t>Barrier Level</w:t>
            </w:r>
          </w:p>
        </w:tc>
        <w:tc>
          <w:tcPr>
            <w:tcW w:w="295" w:type="dxa"/>
          </w:tcPr>
          <w:p w14:paraId="111DB996" w14:textId="77777777" w:rsidR="004D40D0" w:rsidRDefault="004D40D0" w:rsidP="004D40D0"/>
        </w:tc>
      </w:tr>
      <w:tr w:rsidR="004D40D0" w14:paraId="0EFF0621" w14:textId="77777777" w:rsidTr="00ED397B">
        <w:tc>
          <w:tcPr>
            <w:tcW w:w="360" w:type="dxa"/>
          </w:tcPr>
          <w:p w14:paraId="2B679977" w14:textId="77777777" w:rsidR="004D40D0" w:rsidRDefault="004D40D0" w:rsidP="004D40D0"/>
        </w:tc>
        <w:tc>
          <w:tcPr>
            <w:tcW w:w="3685" w:type="dxa"/>
            <w:tcBorders>
              <w:top w:val="single" w:sz="8" w:space="0" w:color="000000" w:themeColor="text1"/>
            </w:tcBorders>
          </w:tcPr>
          <w:p w14:paraId="6C955A91" w14:textId="2702FB4B" w:rsidR="004D40D0" w:rsidRDefault="00DE22E3" w:rsidP="00ED397B">
            <w:pPr>
              <w:jc w:val="center"/>
            </w:pPr>
            <w:r>
              <w:rPr>
                <w:rFonts w:ascii="Arial" w:eastAsia="Times New Roman" w:hAnsi="Arial" w:cs="Arial"/>
                <w:color w:val="000000"/>
                <w:sz w:val="19"/>
                <w:szCs w:val="19"/>
              </w:rPr>
              <w:t>{underlierName}</w:t>
            </w:r>
          </w:p>
        </w:tc>
        <w:tc>
          <w:tcPr>
            <w:tcW w:w="824" w:type="dxa"/>
          </w:tcPr>
          <w:p w14:paraId="40774040" w14:textId="651EE072" w:rsidR="004D40D0" w:rsidRDefault="004D40D0" w:rsidP="00ED397B">
            <w:pPr>
              <w:jc w:val="center"/>
            </w:pPr>
          </w:p>
        </w:tc>
        <w:tc>
          <w:tcPr>
            <w:tcW w:w="1881" w:type="dxa"/>
            <w:tcBorders>
              <w:top w:val="single" w:sz="8" w:space="0" w:color="000000" w:themeColor="text1"/>
            </w:tcBorders>
          </w:tcPr>
          <w:p w14:paraId="1F8272A8" w14:textId="4CF1208A" w:rsidR="004D40D0" w:rsidRDefault="004D40D0" w:rsidP="00ED397B">
            <w:pPr>
              <w:jc w:val="center"/>
            </w:pPr>
          </w:p>
        </w:tc>
        <w:tc>
          <w:tcPr>
            <w:tcW w:w="990" w:type="dxa"/>
          </w:tcPr>
          <w:p w14:paraId="39E89ECF" w14:textId="38FEBC16" w:rsidR="004D40D0" w:rsidRDefault="004D40D0" w:rsidP="00ED397B">
            <w:pPr>
              <w:jc w:val="center"/>
            </w:pPr>
          </w:p>
        </w:tc>
        <w:tc>
          <w:tcPr>
            <w:tcW w:w="3330" w:type="dxa"/>
            <w:tcBorders>
              <w:top w:val="single" w:sz="8" w:space="0" w:color="000000" w:themeColor="text1"/>
            </w:tcBorders>
          </w:tcPr>
          <w:p w14:paraId="03E881C0" w14:textId="609467E9" w:rsidR="004D40D0" w:rsidRDefault="00DE22E3" w:rsidP="00ED397B">
            <w:pPr>
              <w:jc w:val="center"/>
            </w:pPr>
            <w:r w:rsidRPr="00DE22E3">
              <w:rPr>
                <w:rFonts w:ascii="Arial" w:eastAsia="Times New Roman" w:hAnsi="Arial" w:cs="Arial"/>
                <w:color w:val="000000"/>
                <w:sz w:val="19"/>
                <w:szCs w:val="19"/>
              </w:rPr>
              <w:t>{downsideThreshold}</w:t>
            </w:r>
            <w:r w:rsidR="004D40D0" w:rsidRPr="00E35A83">
              <w:rPr>
                <w:rFonts w:ascii="Arial" w:eastAsia="Times New Roman" w:hAnsi="Arial" w:cs="Arial"/>
                <w:color w:val="000000"/>
                <w:sz w:val="19"/>
                <w:szCs w:val="19"/>
              </w:rPr>
              <w:t>% of the Initial Level</w:t>
            </w:r>
          </w:p>
        </w:tc>
        <w:tc>
          <w:tcPr>
            <w:tcW w:w="295" w:type="dxa"/>
          </w:tcPr>
          <w:p w14:paraId="0B9FDD72" w14:textId="77777777" w:rsidR="004D40D0" w:rsidRDefault="004D40D0" w:rsidP="004D40D0"/>
        </w:tc>
      </w:tr>
    </w:tbl>
    <w:p w14:paraId="01A570EF" w14:textId="77777777" w:rsidR="000C798F" w:rsidRDefault="000C798F" w:rsidP="000C798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To be determined on the Trade Date.</w:t>
      </w:r>
    </w:p>
    <w:p w14:paraId="3AC118F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of the Reference Asset is greater than the Initial Level, the Notes will pay at maturity a return equal to 140% of the Percentage Change.</w:t>
      </w:r>
    </w:p>
    <w:p w14:paraId="1CE81E17"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or equal to the Initial Level, but is greater than or equal to the Barrier Level, the Notes will pay the principal amount at maturity.</w:t>
      </w:r>
    </w:p>
    <w:p w14:paraId="0FD72815"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the Barrier Level, investors will lose 1% of the principal amount of the Notes for each 1% that the Final Level has decreased from the Initial Level.</w:t>
      </w:r>
    </w:p>
    <w:p w14:paraId="4C296B4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be automatically called for a Call Payment equal to at least 110% of the principal amount (to be determined on the Trade Date) if the closing level of the Reference Asset on May 28, 2025 (the "Observation Date") is greater than or equal to its Initial Level.</w:t>
      </w:r>
    </w:p>
    <w:p w14:paraId="6C0608E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Any payments on the Notes are subject to our credit risk.</w:t>
      </w:r>
    </w:p>
    <w:p w14:paraId="3E8FFB3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do not pay interest.</w:t>
      </w:r>
    </w:p>
    <w:p w14:paraId="34A4D4C8" w14:textId="77777777" w:rsidR="000C798F"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not be listed on any securities exchange.</w:t>
      </w:r>
    </w:p>
    <w:p w14:paraId="3283BCCC" w14:textId="7C47D00A" w:rsidR="000C798F" w:rsidRPr="005A171B" w:rsidRDefault="000C798F" w:rsidP="000C798F">
      <w:pPr>
        <w:shd w:val="clear" w:color="auto" w:fill="FFFFFF"/>
        <w:spacing w:before="20"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Issue Date: </w:t>
      </w:r>
      <w:r w:rsidR="00E05893">
        <w:rPr>
          <w:rFonts w:ascii="Arial" w:eastAsia="Times New Roman" w:hAnsi="Arial" w:cs="Arial"/>
          <w:color w:val="000000"/>
          <w:sz w:val="19"/>
          <w:szCs w:val="19"/>
        </w:rPr>
        <w:t>{</w:t>
      </w:r>
      <w:r w:rsidR="00E05893" w:rsidRPr="00E05893">
        <w:rPr>
          <w:rFonts w:ascii="Arial" w:eastAsia="Times New Roman" w:hAnsi="Arial" w:cs="Arial"/>
          <w:color w:val="000000"/>
          <w:sz w:val="19"/>
          <w:szCs w:val="19"/>
        </w:rPr>
        <w:t>settlementDate</w:t>
      </w:r>
      <w:r w:rsidR="00E05893">
        <w:rPr>
          <w:rFonts w:ascii="Arial" w:eastAsia="Times New Roman" w:hAnsi="Arial" w:cs="Arial"/>
          <w:color w:val="000000"/>
          <w:sz w:val="19"/>
          <w:szCs w:val="19"/>
        </w:rPr>
        <w:t>}</w:t>
      </w:r>
    </w:p>
    <w:p w14:paraId="02EEA42C" w14:textId="75BF85FE" w:rsidR="000C798F" w:rsidRPr="005A171B" w:rsidRDefault="000C798F" w:rsidP="000C798F">
      <w:pPr>
        <w:shd w:val="clear" w:color="auto" w:fill="FFFFFF"/>
        <w:spacing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Maturity Date: </w:t>
      </w:r>
      <w:r w:rsidR="00DE22E3" w:rsidRPr="00DE22E3">
        <w:rPr>
          <w:rFonts w:ascii="Arial" w:eastAsia="Times New Roman" w:hAnsi="Arial" w:cs="Arial"/>
          <w:color w:val="000000"/>
          <w:sz w:val="19"/>
          <w:szCs w:val="19"/>
        </w:rPr>
        <w:t>{maturityDate}</w:t>
      </w:r>
    </w:p>
    <w:p w14:paraId="181CD918" w14:textId="3ADB51B0" w:rsidR="000C798F" w:rsidRPr="005A171B" w:rsidRDefault="000C798F" w:rsidP="000C798F">
      <w:pPr>
        <w:shd w:val="clear" w:color="auto" w:fill="FFFFFF"/>
        <w:spacing w:before="20"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CUSIP: </w:t>
      </w:r>
      <w:r w:rsidR="003215FD">
        <w:rPr>
          <w:rFonts w:ascii="Arial" w:eastAsia="Times New Roman" w:hAnsi="Arial" w:cs="Arial"/>
          <w:color w:val="000000"/>
          <w:sz w:val="19"/>
          <w:szCs w:val="19"/>
        </w:rPr>
        <w:t>{CUSIP}</w:t>
      </w:r>
    </w:p>
    <w:p w14:paraId="14B4A0D7" w14:textId="77777777" w:rsidR="000C798F" w:rsidRPr="005A171B" w:rsidRDefault="000C798F" w:rsidP="000C798F">
      <w:pPr>
        <w:shd w:val="clear" w:color="auto" w:fill="FFFFFF"/>
        <w:spacing w:after="100" w:line="240" w:lineRule="auto"/>
        <w:rPr>
          <w:rFonts w:ascii="Arial" w:eastAsia="Times New Roman" w:hAnsi="Arial" w:cs="Arial"/>
          <w:b/>
          <w:bCs/>
          <w:color w:val="000000"/>
          <w:sz w:val="19"/>
          <w:szCs w:val="19"/>
        </w:rPr>
      </w:pPr>
      <w:r w:rsidRPr="005A171B">
        <w:rPr>
          <w:rFonts w:ascii="Arial" w:eastAsia="Times New Roman" w:hAnsi="Arial" w:cs="Arial"/>
          <w:b/>
          <w:bCs/>
          <w:color w:val="000000"/>
          <w:sz w:val="19"/>
          <w:szCs w:val="19"/>
        </w:rPr>
        <w:t>Investing in the Notes involves a number of risks. See “Selected Risk Considerations” beginning on page P-7 of this terms supplement, and “Risk Factors” beginning on page PS-4 of the product prospectus supplement and on page S-3 of the prospectus supplement, each dated December 20, 2023.</w:t>
      </w:r>
    </w:p>
    <w:p w14:paraId="708B0C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will not constitute deposits insured by the Canada Deposit Insurance Corporation, the U.S. Federal Deposit Insurance Corporation or any other Canadian or U.S. government agency or instrumentality.</w:t>
      </w:r>
    </w:p>
    <w:p w14:paraId="215964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are not subject to conversion into our common shares under subsection 39.2(2.3) of the Canada Deposit Insurance Corporation Act.</w:t>
      </w:r>
    </w:p>
    <w:p w14:paraId="7D5F2134" w14:textId="77777777" w:rsidR="000C798F"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Neither the Securities and Exchange Commission nor any state securities commission has approved or disapproved of these securities or determined that this terms supplement is truthful or complete. Any representation to the contrary is a criminal offense.</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505"/>
        <w:gridCol w:w="360"/>
        <w:gridCol w:w="1710"/>
        <w:gridCol w:w="540"/>
        <w:gridCol w:w="2880"/>
        <w:gridCol w:w="990"/>
      </w:tblGrid>
      <w:tr w:rsidR="00ED397B" w14:paraId="46D33720" w14:textId="77777777" w:rsidTr="00ED397B">
        <w:tc>
          <w:tcPr>
            <w:tcW w:w="355" w:type="dxa"/>
          </w:tcPr>
          <w:p w14:paraId="3AEECC78" w14:textId="77777777" w:rsidR="00ED397B" w:rsidRDefault="00ED397B" w:rsidP="00ED397B">
            <w:pPr>
              <w:rPr>
                <w:rFonts w:ascii="Arial" w:eastAsia="Times New Roman" w:hAnsi="Arial" w:cs="Arial"/>
                <w:color w:val="000000"/>
                <w:sz w:val="19"/>
                <w:szCs w:val="19"/>
              </w:rPr>
            </w:pPr>
          </w:p>
        </w:tc>
        <w:tc>
          <w:tcPr>
            <w:tcW w:w="4505" w:type="dxa"/>
          </w:tcPr>
          <w:p w14:paraId="7626DBED" w14:textId="77777777" w:rsidR="00ED397B" w:rsidRDefault="00ED397B" w:rsidP="00ED397B">
            <w:pPr>
              <w:rPr>
                <w:rFonts w:ascii="Arial" w:eastAsia="Times New Roman" w:hAnsi="Arial" w:cs="Arial"/>
                <w:color w:val="000000"/>
                <w:sz w:val="19"/>
                <w:szCs w:val="19"/>
              </w:rPr>
            </w:pPr>
          </w:p>
        </w:tc>
        <w:tc>
          <w:tcPr>
            <w:tcW w:w="360" w:type="dxa"/>
          </w:tcPr>
          <w:p w14:paraId="4BD0061D"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7C326FB" w14:textId="5C4DF214" w:rsidR="00ED397B" w:rsidRDefault="00ED397B" w:rsidP="00ED397B">
            <w:pPr>
              <w:jc w:val="center"/>
              <w:rPr>
                <w:rFonts w:ascii="Arial" w:eastAsia="Times New Roman" w:hAnsi="Arial" w:cs="Arial"/>
                <w:color w:val="000000"/>
                <w:sz w:val="19"/>
                <w:szCs w:val="19"/>
              </w:rPr>
            </w:pPr>
            <w:r>
              <w:rPr>
                <w:rFonts w:ascii="Arial" w:hAnsi="Arial" w:cs="Arial"/>
                <w:color w:val="000000"/>
                <w:sz w:val="19"/>
                <w:szCs w:val="19"/>
                <w:shd w:val="clear" w:color="auto" w:fill="FFFFFF"/>
              </w:rPr>
              <w:t>Per Note</w:t>
            </w:r>
          </w:p>
        </w:tc>
        <w:tc>
          <w:tcPr>
            <w:tcW w:w="540" w:type="dxa"/>
          </w:tcPr>
          <w:p w14:paraId="1180A073" w14:textId="2DA1C92C"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0E980A50" w14:textId="6FDA636F"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Total</w:t>
            </w:r>
          </w:p>
        </w:tc>
        <w:tc>
          <w:tcPr>
            <w:tcW w:w="990" w:type="dxa"/>
          </w:tcPr>
          <w:p w14:paraId="79D04AD1" w14:textId="77777777" w:rsidR="00ED397B" w:rsidRDefault="00ED397B" w:rsidP="00ED397B">
            <w:pPr>
              <w:rPr>
                <w:rFonts w:ascii="Arial" w:eastAsia="Times New Roman" w:hAnsi="Arial" w:cs="Arial"/>
                <w:color w:val="000000"/>
                <w:sz w:val="19"/>
                <w:szCs w:val="19"/>
              </w:rPr>
            </w:pPr>
          </w:p>
        </w:tc>
      </w:tr>
      <w:tr w:rsidR="00ED397B" w14:paraId="64E6FA03" w14:textId="77777777" w:rsidTr="00ED397B">
        <w:tc>
          <w:tcPr>
            <w:tcW w:w="355" w:type="dxa"/>
          </w:tcPr>
          <w:p w14:paraId="2FF6A290" w14:textId="77777777" w:rsidR="00ED397B" w:rsidRDefault="00ED397B" w:rsidP="00ED397B">
            <w:pPr>
              <w:rPr>
                <w:rFonts w:ascii="Arial" w:eastAsia="Times New Roman" w:hAnsi="Arial" w:cs="Arial"/>
                <w:color w:val="000000"/>
                <w:sz w:val="19"/>
                <w:szCs w:val="19"/>
              </w:rPr>
            </w:pPr>
          </w:p>
        </w:tc>
        <w:tc>
          <w:tcPr>
            <w:tcW w:w="4505" w:type="dxa"/>
          </w:tcPr>
          <w:p w14:paraId="23C74349" w14:textId="37DC0E2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Price to public</w:t>
            </w:r>
            <w:r>
              <w:rPr>
                <w:rFonts w:ascii="Arial" w:hAnsi="Arial" w:cs="Arial"/>
                <w:color w:val="000000"/>
                <w:sz w:val="20"/>
                <w:szCs w:val="20"/>
                <w:shd w:val="clear" w:color="auto" w:fill="FFFFFF"/>
                <w:vertAlign w:val="superscript"/>
              </w:rPr>
              <w:t>(1)</w:t>
            </w:r>
          </w:p>
        </w:tc>
        <w:tc>
          <w:tcPr>
            <w:tcW w:w="360" w:type="dxa"/>
          </w:tcPr>
          <w:p w14:paraId="2E6CFA3F"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2E42B524" w14:textId="354CD2B1" w:rsidR="00ED397B" w:rsidRDefault="00ED397B" w:rsidP="00ED397B">
            <w:pPr>
              <w:jc w:val="center"/>
              <w:rPr>
                <w:rFonts w:ascii="Arial" w:eastAsia="Times New Roman" w:hAnsi="Arial" w:cs="Arial"/>
                <w:color w:val="000000"/>
                <w:sz w:val="19"/>
                <w:szCs w:val="19"/>
              </w:rPr>
            </w:pPr>
            <w:r w:rsidRPr="00ED397B">
              <w:rPr>
                <w:rFonts w:ascii="Arial" w:eastAsia="Times New Roman" w:hAnsi="Arial" w:cs="Arial"/>
                <w:color w:val="000000"/>
                <w:sz w:val="19"/>
                <w:szCs w:val="19"/>
              </w:rPr>
              <w:t>100.00%</w:t>
            </w:r>
          </w:p>
        </w:tc>
        <w:tc>
          <w:tcPr>
            <w:tcW w:w="540" w:type="dxa"/>
          </w:tcPr>
          <w:p w14:paraId="2F34BF2F" w14:textId="32AF6CC9"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1597388E" w14:textId="1C06E76C"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r w:rsidR="00EE7ABF" w:rsidRPr="00EE7ABF">
              <w:rPr>
                <w:rFonts w:ascii="Arial" w:eastAsia="Times New Roman" w:hAnsi="Arial" w:cs="Arial"/>
                <w:color w:val="000000"/>
                <w:sz w:val="19"/>
                <w:szCs w:val="19"/>
              </w:rPr>
              <w:t>{notional}</w:t>
            </w:r>
          </w:p>
        </w:tc>
        <w:tc>
          <w:tcPr>
            <w:tcW w:w="990" w:type="dxa"/>
          </w:tcPr>
          <w:p w14:paraId="65616831" w14:textId="77777777" w:rsidR="00ED397B" w:rsidRDefault="00ED397B" w:rsidP="00ED397B">
            <w:pPr>
              <w:rPr>
                <w:rFonts w:ascii="Arial" w:eastAsia="Times New Roman" w:hAnsi="Arial" w:cs="Arial"/>
                <w:color w:val="000000"/>
                <w:sz w:val="19"/>
                <w:szCs w:val="19"/>
              </w:rPr>
            </w:pPr>
          </w:p>
        </w:tc>
      </w:tr>
      <w:tr w:rsidR="00ED397B" w14:paraId="68D2FDA2" w14:textId="77777777" w:rsidTr="00ED397B">
        <w:tc>
          <w:tcPr>
            <w:tcW w:w="355" w:type="dxa"/>
          </w:tcPr>
          <w:p w14:paraId="79B2E9CA" w14:textId="77777777" w:rsidR="00ED397B" w:rsidRDefault="00ED397B" w:rsidP="00ED397B">
            <w:pPr>
              <w:rPr>
                <w:rFonts w:ascii="Arial" w:eastAsia="Times New Roman" w:hAnsi="Arial" w:cs="Arial"/>
                <w:color w:val="000000"/>
                <w:sz w:val="19"/>
                <w:szCs w:val="19"/>
              </w:rPr>
            </w:pPr>
          </w:p>
        </w:tc>
        <w:tc>
          <w:tcPr>
            <w:tcW w:w="4505" w:type="dxa"/>
          </w:tcPr>
          <w:p w14:paraId="5FBFDFCB" w14:textId="41CC22D0"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Underwriting discounts and commissions</w:t>
            </w:r>
            <w:r>
              <w:rPr>
                <w:rFonts w:ascii="Arial" w:hAnsi="Arial" w:cs="Arial"/>
                <w:color w:val="000000"/>
                <w:sz w:val="20"/>
                <w:szCs w:val="20"/>
                <w:shd w:val="clear" w:color="auto" w:fill="FFFFFF"/>
                <w:vertAlign w:val="superscript"/>
              </w:rPr>
              <w:t> (1)</w:t>
            </w:r>
          </w:p>
        </w:tc>
        <w:tc>
          <w:tcPr>
            <w:tcW w:w="360" w:type="dxa"/>
          </w:tcPr>
          <w:p w14:paraId="5EF960DC"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E628174" w14:textId="5F3B9994"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2.50%</w:t>
            </w:r>
          </w:p>
        </w:tc>
        <w:tc>
          <w:tcPr>
            <w:tcW w:w="540" w:type="dxa"/>
          </w:tcPr>
          <w:p w14:paraId="192D4D3A" w14:textId="0EED1FA8"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79F85839" w14:textId="4C6EA2BD"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475D7EB7" w14:textId="77777777" w:rsidR="00ED397B" w:rsidRDefault="00ED397B" w:rsidP="00ED397B">
            <w:pPr>
              <w:rPr>
                <w:rFonts w:ascii="Arial" w:eastAsia="Times New Roman" w:hAnsi="Arial" w:cs="Arial"/>
                <w:color w:val="000000"/>
                <w:sz w:val="19"/>
                <w:szCs w:val="19"/>
              </w:rPr>
            </w:pPr>
          </w:p>
        </w:tc>
      </w:tr>
      <w:tr w:rsidR="00ED397B" w14:paraId="60F3E4F7" w14:textId="77777777" w:rsidTr="00ED397B">
        <w:tc>
          <w:tcPr>
            <w:tcW w:w="355" w:type="dxa"/>
          </w:tcPr>
          <w:p w14:paraId="015910D0" w14:textId="77777777" w:rsidR="00ED397B" w:rsidRDefault="00ED397B" w:rsidP="00ED397B">
            <w:pPr>
              <w:rPr>
                <w:rFonts w:ascii="Arial" w:eastAsia="Times New Roman" w:hAnsi="Arial" w:cs="Arial"/>
                <w:color w:val="000000"/>
                <w:sz w:val="19"/>
                <w:szCs w:val="19"/>
              </w:rPr>
            </w:pPr>
          </w:p>
        </w:tc>
        <w:tc>
          <w:tcPr>
            <w:tcW w:w="4505" w:type="dxa"/>
          </w:tcPr>
          <w:p w14:paraId="50E6B0B0" w14:textId="44A9A8F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Proceeds to Royal Bank of Canada</w:t>
            </w:r>
          </w:p>
        </w:tc>
        <w:tc>
          <w:tcPr>
            <w:tcW w:w="360" w:type="dxa"/>
          </w:tcPr>
          <w:p w14:paraId="3D152176"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678C6F72" w14:textId="0C7FB556"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97.50%</w:t>
            </w:r>
          </w:p>
        </w:tc>
        <w:tc>
          <w:tcPr>
            <w:tcW w:w="540" w:type="dxa"/>
          </w:tcPr>
          <w:p w14:paraId="2AF32779" w14:textId="39E43232"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4D3E0753" w14:textId="4B661D21"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5FABE819" w14:textId="77777777" w:rsidR="00ED397B" w:rsidRDefault="00ED397B" w:rsidP="00ED397B">
            <w:pPr>
              <w:rPr>
                <w:rFonts w:ascii="Arial" w:eastAsia="Times New Roman" w:hAnsi="Arial" w:cs="Arial"/>
                <w:color w:val="000000"/>
                <w:sz w:val="19"/>
                <w:szCs w:val="19"/>
              </w:rPr>
            </w:pPr>
          </w:p>
        </w:tc>
      </w:tr>
    </w:tbl>
    <w:p w14:paraId="4589BEBA" w14:textId="77777777" w:rsidR="000C798F" w:rsidRPr="005A171B" w:rsidRDefault="000C798F" w:rsidP="000C798F">
      <w:pPr>
        <w:shd w:val="clear" w:color="auto" w:fill="FFFFFF"/>
        <w:spacing w:after="0" w:line="240" w:lineRule="auto"/>
        <w:rPr>
          <w:rFonts w:ascii="Arial" w:eastAsia="Times New Roman" w:hAnsi="Arial" w:cs="Arial"/>
          <w:color w:val="000000"/>
          <w:sz w:val="17"/>
          <w:szCs w:val="17"/>
        </w:rPr>
      </w:pPr>
      <w:r w:rsidRPr="005A171B">
        <w:rPr>
          <w:rFonts w:ascii="Arial" w:eastAsia="Times New Roman" w:hAnsi="Arial" w:cs="Arial"/>
          <w:color w:val="000000"/>
          <w:sz w:val="15"/>
          <w:szCs w:val="15"/>
          <w:vertAlign w:val="superscript"/>
        </w:rPr>
        <w:t>(1) </w:t>
      </w:r>
      <w:r w:rsidRPr="005A171B">
        <w:rPr>
          <w:rFonts w:ascii="Arial" w:eastAsia="Times New Roman" w:hAnsi="Arial" w:cs="Arial"/>
          <w:color w:val="000000"/>
          <w:sz w:val="17"/>
          <w:szCs w:val="17"/>
        </w:rPr>
        <w:t>We or one of our affiliates may pay selling concessions of up to $25.00 per $1,000 in principal amount of the Notes in connection with the distribution of the Notes to other registered broker dealers. Certain dealers who purchase the Notes for sale to certain fee-based advisory accounts may forego some or all of their underwriting discount or selling concessions. The public offering price for investors purchasing the Notes in these accounts may be between $975.00 and $1,000 per $1,000 in principal amount.</w:t>
      </w:r>
    </w:p>
    <w:p w14:paraId="1FD1E422" w14:textId="3BCE0DBE" w:rsidR="004D40D0" w:rsidRPr="004D40D0" w:rsidRDefault="000C798F" w:rsidP="00ED397B">
      <w:pPr>
        <w:shd w:val="clear" w:color="auto" w:fill="FFFFFF"/>
        <w:spacing w:after="0" w:line="240" w:lineRule="auto"/>
      </w:pPr>
      <w:r w:rsidRPr="005A171B">
        <w:rPr>
          <w:rFonts w:ascii="Arial" w:eastAsia="Times New Roman" w:hAnsi="Arial" w:cs="Arial"/>
          <w:color w:val="000000"/>
          <w:sz w:val="17"/>
          <w:szCs w:val="17"/>
        </w:rPr>
        <w:t>The initial estimated value of the Notes as of the Trade Date is expected to be between $907 and $957 per $1,000 in principal amount, and will be less than the price to public. The final pricing supplement relating to the Notes will set forth our estimate of the initial value of the Notes as of the Trade Date. The actual value of the Notes at any time will reflect many factors, cannot be predicted with accuracy, and may be less than this amount. We describe our determination of the initial estimated value in more detail below.</w:t>
      </w:r>
    </w:p>
    <w:sectPr w:rsidR="004D40D0" w:rsidRPr="004D40D0" w:rsidSect="004D40D0">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01F02" w14:textId="77777777" w:rsidR="00C22D3E" w:rsidRDefault="00C22D3E" w:rsidP="00ED397B">
      <w:pPr>
        <w:spacing w:after="0" w:line="240" w:lineRule="auto"/>
      </w:pPr>
      <w:r>
        <w:separator/>
      </w:r>
    </w:p>
  </w:endnote>
  <w:endnote w:type="continuationSeparator" w:id="0">
    <w:p w14:paraId="73EC43A8" w14:textId="77777777" w:rsidR="00C22D3E" w:rsidRDefault="00C22D3E"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C12C" w14:textId="17FDF399" w:rsidR="00ED397B" w:rsidRPr="00ED397B" w:rsidRDefault="00ED397B" w:rsidP="00ED397B">
    <w:pPr>
      <w:shd w:val="clear" w:color="auto" w:fill="FFFFFF"/>
      <w:spacing w:after="0" w:line="240" w:lineRule="auto"/>
      <w:jc w:val="right"/>
      <w:rPr>
        <w:rFonts w:ascii="Arial" w:eastAsia="Times New Roman" w:hAnsi="Arial" w:cs="Arial"/>
        <w:color w:val="17365D"/>
        <w:sz w:val="20"/>
        <w:szCs w:val="20"/>
      </w:rPr>
    </w:pPr>
    <w:r w:rsidRPr="00E35A83">
      <w:rPr>
        <w:rFonts w:ascii="Arial" w:eastAsia="Times New Roman" w:hAnsi="Arial" w:cs="Arial"/>
        <w:color w:val="17365D"/>
        <w:sz w:val="20"/>
        <w:szCs w:val="20"/>
      </w:rPr>
      <w:t>RBC Capital Markets,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2D17D" w14:textId="77777777" w:rsidR="00C22D3E" w:rsidRDefault="00C22D3E" w:rsidP="00ED397B">
      <w:pPr>
        <w:spacing w:after="0" w:line="240" w:lineRule="auto"/>
      </w:pPr>
      <w:r>
        <w:separator/>
      </w:r>
    </w:p>
  </w:footnote>
  <w:footnote w:type="continuationSeparator" w:id="0">
    <w:p w14:paraId="65D63113" w14:textId="77777777" w:rsidR="00C22D3E" w:rsidRDefault="00C22D3E"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50E1B"/>
    <w:rsid w:val="00067514"/>
    <w:rsid w:val="0008231E"/>
    <w:rsid w:val="000839F7"/>
    <w:rsid w:val="000C798F"/>
    <w:rsid w:val="00161DBA"/>
    <w:rsid w:val="00175E39"/>
    <w:rsid w:val="003215FD"/>
    <w:rsid w:val="003544E1"/>
    <w:rsid w:val="003E1052"/>
    <w:rsid w:val="003E314B"/>
    <w:rsid w:val="00435380"/>
    <w:rsid w:val="0044763B"/>
    <w:rsid w:val="004525A5"/>
    <w:rsid w:val="004B15AB"/>
    <w:rsid w:val="004D40D0"/>
    <w:rsid w:val="0072513A"/>
    <w:rsid w:val="0075587A"/>
    <w:rsid w:val="008A0D8A"/>
    <w:rsid w:val="008B4C41"/>
    <w:rsid w:val="008F2AF1"/>
    <w:rsid w:val="00A80FD7"/>
    <w:rsid w:val="00AB3501"/>
    <w:rsid w:val="00AF047C"/>
    <w:rsid w:val="00BA47AB"/>
    <w:rsid w:val="00BC4AD6"/>
    <w:rsid w:val="00C22D3E"/>
    <w:rsid w:val="00C66002"/>
    <w:rsid w:val="00C72B29"/>
    <w:rsid w:val="00CC75D9"/>
    <w:rsid w:val="00CF4C55"/>
    <w:rsid w:val="00DE22E3"/>
    <w:rsid w:val="00E05893"/>
    <w:rsid w:val="00E65FD2"/>
    <w:rsid w:val="00E7156C"/>
    <w:rsid w:val="00E72CDF"/>
    <w:rsid w:val="00ED397B"/>
    <w:rsid w:val="00EE7ABF"/>
    <w:rsid w:val="00F31BEB"/>
    <w:rsid w:val="00F51AB9"/>
    <w:rsid w:val="00FF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7313">
      <w:bodyDiv w:val="1"/>
      <w:marLeft w:val="0"/>
      <w:marRight w:val="0"/>
      <w:marTop w:val="0"/>
      <w:marBottom w:val="0"/>
      <w:divBdr>
        <w:top w:val="none" w:sz="0" w:space="0" w:color="auto"/>
        <w:left w:val="none" w:sz="0" w:space="0" w:color="auto"/>
        <w:bottom w:val="none" w:sz="0" w:space="0" w:color="auto"/>
        <w:right w:val="none" w:sz="0" w:space="0" w:color="auto"/>
      </w:divBdr>
      <w:divsChild>
        <w:div w:id="1814330720">
          <w:marLeft w:val="0"/>
          <w:marRight w:val="0"/>
          <w:marTop w:val="0"/>
          <w:marBottom w:val="0"/>
          <w:divBdr>
            <w:top w:val="none" w:sz="0" w:space="0" w:color="auto"/>
            <w:left w:val="none" w:sz="0" w:space="0" w:color="auto"/>
            <w:bottom w:val="none" w:sz="0" w:space="0" w:color="auto"/>
            <w:right w:val="none" w:sz="0" w:space="0" w:color="auto"/>
          </w:divBdr>
          <w:divsChild>
            <w:div w:id="14120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8277">
      <w:bodyDiv w:val="1"/>
      <w:marLeft w:val="0"/>
      <w:marRight w:val="0"/>
      <w:marTop w:val="0"/>
      <w:marBottom w:val="0"/>
      <w:divBdr>
        <w:top w:val="none" w:sz="0" w:space="0" w:color="auto"/>
        <w:left w:val="none" w:sz="0" w:space="0" w:color="auto"/>
        <w:bottom w:val="none" w:sz="0" w:space="0" w:color="auto"/>
        <w:right w:val="none" w:sz="0" w:space="0" w:color="auto"/>
      </w:divBdr>
      <w:divsChild>
        <w:div w:id="1375541364">
          <w:marLeft w:val="0"/>
          <w:marRight w:val="0"/>
          <w:marTop w:val="0"/>
          <w:marBottom w:val="0"/>
          <w:divBdr>
            <w:top w:val="none" w:sz="0" w:space="0" w:color="auto"/>
            <w:left w:val="none" w:sz="0" w:space="0" w:color="auto"/>
            <w:bottom w:val="none" w:sz="0" w:space="0" w:color="auto"/>
            <w:right w:val="none" w:sz="0" w:space="0" w:color="auto"/>
          </w:divBdr>
          <w:divsChild>
            <w:div w:id="2044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511">
      <w:bodyDiv w:val="1"/>
      <w:marLeft w:val="0"/>
      <w:marRight w:val="0"/>
      <w:marTop w:val="0"/>
      <w:marBottom w:val="0"/>
      <w:divBdr>
        <w:top w:val="none" w:sz="0" w:space="0" w:color="auto"/>
        <w:left w:val="none" w:sz="0" w:space="0" w:color="auto"/>
        <w:bottom w:val="none" w:sz="0" w:space="0" w:color="auto"/>
        <w:right w:val="none" w:sz="0" w:space="0" w:color="auto"/>
      </w:divBdr>
      <w:divsChild>
        <w:div w:id="832338803">
          <w:marLeft w:val="0"/>
          <w:marRight w:val="0"/>
          <w:marTop w:val="0"/>
          <w:marBottom w:val="0"/>
          <w:divBdr>
            <w:top w:val="none" w:sz="0" w:space="0" w:color="auto"/>
            <w:left w:val="none" w:sz="0" w:space="0" w:color="auto"/>
            <w:bottom w:val="none" w:sz="0" w:space="0" w:color="auto"/>
            <w:right w:val="none" w:sz="0" w:space="0" w:color="auto"/>
          </w:divBdr>
          <w:divsChild>
            <w:div w:id="1968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475">
      <w:bodyDiv w:val="1"/>
      <w:marLeft w:val="0"/>
      <w:marRight w:val="0"/>
      <w:marTop w:val="0"/>
      <w:marBottom w:val="0"/>
      <w:divBdr>
        <w:top w:val="none" w:sz="0" w:space="0" w:color="auto"/>
        <w:left w:val="none" w:sz="0" w:space="0" w:color="auto"/>
        <w:bottom w:val="none" w:sz="0" w:space="0" w:color="auto"/>
        <w:right w:val="none" w:sz="0" w:space="0" w:color="auto"/>
      </w:divBdr>
      <w:divsChild>
        <w:div w:id="1509952817">
          <w:marLeft w:val="0"/>
          <w:marRight w:val="0"/>
          <w:marTop w:val="0"/>
          <w:marBottom w:val="0"/>
          <w:divBdr>
            <w:top w:val="none" w:sz="0" w:space="0" w:color="auto"/>
            <w:left w:val="none" w:sz="0" w:space="0" w:color="auto"/>
            <w:bottom w:val="none" w:sz="0" w:space="0" w:color="auto"/>
            <w:right w:val="none" w:sz="0" w:space="0" w:color="auto"/>
          </w:divBdr>
          <w:divsChild>
            <w:div w:id="7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383">
      <w:bodyDiv w:val="1"/>
      <w:marLeft w:val="0"/>
      <w:marRight w:val="0"/>
      <w:marTop w:val="0"/>
      <w:marBottom w:val="0"/>
      <w:divBdr>
        <w:top w:val="none" w:sz="0" w:space="0" w:color="auto"/>
        <w:left w:val="none" w:sz="0" w:space="0" w:color="auto"/>
        <w:bottom w:val="none" w:sz="0" w:space="0" w:color="auto"/>
        <w:right w:val="none" w:sz="0" w:space="0" w:color="auto"/>
      </w:divBdr>
      <w:divsChild>
        <w:div w:id="428550601">
          <w:marLeft w:val="0"/>
          <w:marRight w:val="0"/>
          <w:marTop w:val="0"/>
          <w:marBottom w:val="0"/>
          <w:divBdr>
            <w:top w:val="none" w:sz="0" w:space="0" w:color="auto"/>
            <w:left w:val="none" w:sz="0" w:space="0" w:color="auto"/>
            <w:bottom w:val="none" w:sz="0" w:space="0" w:color="auto"/>
            <w:right w:val="none" w:sz="0" w:space="0" w:color="auto"/>
          </w:divBdr>
          <w:divsChild>
            <w:div w:id="12897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 w:id="1605073170">
      <w:bodyDiv w:val="1"/>
      <w:marLeft w:val="0"/>
      <w:marRight w:val="0"/>
      <w:marTop w:val="0"/>
      <w:marBottom w:val="0"/>
      <w:divBdr>
        <w:top w:val="none" w:sz="0" w:space="0" w:color="auto"/>
        <w:left w:val="none" w:sz="0" w:space="0" w:color="auto"/>
        <w:bottom w:val="none" w:sz="0" w:space="0" w:color="auto"/>
        <w:right w:val="none" w:sz="0" w:space="0" w:color="auto"/>
      </w:divBdr>
      <w:divsChild>
        <w:div w:id="1394424405">
          <w:marLeft w:val="0"/>
          <w:marRight w:val="0"/>
          <w:marTop w:val="0"/>
          <w:marBottom w:val="0"/>
          <w:divBdr>
            <w:top w:val="none" w:sz="0" w:space="0" w:color="auto"/>
            <w:left w:val="none" w:sz="0" w:space="0" w:color="auto"/>
            <w:bottom w:val="none" w:sz="0" w:space="0" w:color="auto"/>
            <w:right w:val="none" w:sz="0" w:space="0" w:color="auto"/>
          </w:divBdr>
          <w:divsChild>
            <w:div w:id="25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13</cp:revision>
  <dcterms:created xsi:type="dcterms:W3CDTF">2024-06-02T02:01:00Z</dcterms:created>
  <dcterms:modified xsi:type="dcterms:W3CDTF">2024-12-02T03:46:00Z</dcterms:modified>
</cp:coreProperties>
</file>