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E0B060"/>
          <w:left w:val="single" w:sz="4" w:color="E0B060"/>
          <w:bottom w:val="single" w:sz="4" w:color="E0B060"/>
          <w:right w:val="single" w:sz="4" w:color="E0B060"/>
          <w:insideH w:val="single" w:sz="4" w:color="E0B060"/>
          <w:insideV w:val="single" w:sz="4" w:color="E0B060"/>
        </w:tblBorders>
        <w:tblLayout w:type="fixed"/>
      </w:tblPr>
      <w:tblGrid>
        <w:gridCol w:w="9639"/>
      </w:tblGrid>
      <w:tr>
        <w:tc>
          <w:tcPr>
            <w:tcW w:type="dxa" w:w="9638"/>
            <w:shd w:val="clear" w:color="auto" w:fill="FDF0D8"/>
          </w:tcPr>
          <w:p>
            <w:r>
              <w:rPr>
                <w:b/>
                <w:color w:val="7C4A03"/>
                <w:sz w:val="19"/>
              </w:rPr>
              <w:t>⚠ SIMULATED PROJECT: FICTIONAL COMPANY, CREATED FOR PORTFOLIO AND LEARNING PURPOSES</w:t>
            </w:r>
          </w:p>
          <w:p>
            <w:r>
              <w:rPr>
                <w:color w:val="7C4A03"/>
                <w:sz w:val="17"/>
              </w:rPr>
              <w:t>Cobbleway Home Services Ltd is not a real business. Names, dates, budgets and results are invented to practise project-management methods from my MSc studies. Nothing here describes a real client or real outcomes.</w:t>
            </w:r>
          </w:p>
        </w:tc>
      </w:tr>
    </w:tbl>
    <w:p/>
    <w:p>
      <w:pPr>
        <w:spacing w:after="40"/>
      </w:pPr>
      <w:r>
        <w:rPr>
          <w:b/>
          <w:color w:val="0F1D3A"/>
          <w:sz w:val="40"/>
        </w:rPr>
        <w:t>Project charter and business case</w:t>
      </w:r>
    </w:p>
    <w:p>
      <w:r>
        <w:rPr>
          <w:color w:val="0B6E69"/>
          <w:sz w:val="22"/>
        </w:rPr>
        <w:t>Project Compass: CRM implementation · Cobbleway Home Services Ltd (fictional)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9D1DE"/>
          <w:left w:val="single" w:sz="4" w:color="C9D1DE"/>
          <w:bottom w:val="single" w:sz="4" w:color="C9D1DE"/>
          <w:right w:val="single" w:sz="4" w:color="C9D1DE"/>
          <w:insideH w:val="single" w:sz="4" w:color="C9D1DE"/>
          <w:insideV w:val="single" w:sz="4" w:color="C9D1DE"/>
        </w:tblBorders>
        <w:tblLayout w:type="fixed"/>
      </w:tblPr>
      <w:tblGrid>
        <w:gridCol w:w="2551"/>
        <w:gridCol w:w="7087"/>
      </w:tblGrid>
      <w:tr>
        <w:tc>
          <w:tcPr>
            <w:tcW w:type="dxa" w:w="2551"/>
            <w:shd w:val="clear" w:color="auto" w:fill="F5F7FB"/>
          </w:tcPr>
          <w:p>
            <w:r>
              <w:rPr>
                <w:b/>
                <w:sz w:val="18"/>
              </w:rPr>
              <w:t>Document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Project charter and outline business case, v1.0 (approved)</w:t>
            </w:r>
          </w:p>
        </w:tc>
      </w:tr>
      <w:tr>
        <w:tc>
          <w:tcPr>
            <w:tcW w:type="dxa" w:w="2551"/>
            <w:shd w:val="clear" w:color="auto" w:fill="F5F7FB"/>
          </w:tcPr>
          <w:p>
            <w:r>
              <w:rPr>
                <w:b/>
                <w:sz w:val="18"/>
              </w:rPr>
              <w:t>Project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Project Compass: CRM implementation</w:t>
            </w:r>
          </w:p>
        </w:tc>
      </w:tr>
      <w:tr>
        <w:tc>
          <w:tcPr>
            <w:tcW w:type="dxa" w:w="2551"/>
            <w:shd w:val="clear" w:color="auto" w:fill="F5F7FB"/>
          </w:tcPr>
          <w:p>
            <w:r>
              <w:rPr>
                <w:b/>
                <w:sz w:val="18"/>
              </w:rPr>
              <w:t>Organisation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Cobbleway Home Services Ltd: a fictional 25-person plumbing, heating and electrical firm in North East England (14 field engineers, 2 apprentices and a 9-person office and management team)</w:t>
            </w:r>
          </w:p>
        </w:tc>
      </w:tr>
      <w:tr>
        <w:tc>
          <w:tcPr>
            <w:tcW w:type="dxa" w:w="2551"/>
            <w:shd w:val="clear" w:color="auto" w:fill="F5F7FB"/>
          </w:tcPr>
          <w:p>
            <w:r>
              <w:rPr>
                <w:b/>
                <w:sz w:val="18"/>
              </w:rPr>
              <w:t>Sponsor / Executive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Helen Marsh, Managing Director (fictional)</w:t>
            </w:r>
          </w:p>
        </w:tc>
      </w:tr>
      <w:tr>
        <w:tc>
          <w:tcPr>
            <w:tcW w:type="dxa" w:w="2551"/>
            <w:shd w:val="clear" w:color="auto" w:fill="F5F7FB"/>
          </w:tcPr>
          <w:p>
            <w:r>
              <w:rPr>
                <w:b/>
                <w:sz w:val="18"/>
              </w:rPr>
              <w:t>Project manager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Chidera Ikenna-Obi (simulated role, MSc practice project)</w:t>
            </w:r>
          </w:p>
        </w:tc>
      </w:tr>
      <w:tr>
        <w:tc>
          <w:tcPr>
            <w:tcW w:type="dxa" w:w="2551"/>
            <w:shd w:val="clear" w:color="auto" w:fill="F5F7FB"/>
          </w:tcPr>
          <w:p>
            <w:r>
              <w:rPr>
                <w:b/>
                <w:sz w:val="18"/>
              </w:rPr>
              <w:t>Approval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Approved at M1 on 11 Mar 2026</w:t>
            </w:r>
          </w:p>
        </w:tc>
      </w:tr>
      <w:tr>
        <w:tc>
          <w:tcPr>
            <w:tcW w:type="dxa" w:w="2551"/>
            <w:shd w:val="clear" w:color="auto" w:fill="F5F7FB"/>
          </w:tcPr>
          <w:p>
            <w:r>
              <w:rPr>
                <w:b/>
                <w:sz w:val="18"/>
              </w:rPr>
              <w:t>Related artefacts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02 Requirements and stakeholder register · 03 WBS and schedule · 04 RAID log · 05 RACI and communications plan · 06 Status dashboard</w:t>
            </w:r>
          </w:p>
        </w:tc>
      </w:tr>
    </w:tbl>
    <w:p/>
    <w:p>
      <w:pPr>
        <w:pStyle w:val="Heading1"/>
      </w:pPr>
      <w:r>
        <w:t>1. Background and problem</w:t>
      </w:r>
    </w:p>
    <w:p>
      <w:r>
        <w:rPr>
          <w:i w:val="0"/>
        </w:rPr>
        <w:t>Cobbleway Home Services Ltd handles around 1,100 quotes a year (illustrative) for boiler installs, servicing, repairs and small electrical jobs. Enquiries arrive by phone, email and a website form and are tracked across a shared inbox, two spreadsheets and a whiteboard. There is no single customer record, follow-ups depend on memory, and job details are re-keyed into the accounting package.</w:t>
      </w:r>
    </w:p>
    <w:p>
      <w:pPr>
        <w:pStyle w:val="ListBullet"/>
        <w:spacing w:after="40"/>
      </w:pPr>
      <w:r>
        <w:rPr>
          <w:b/>
        </w:rPr>
        <w:t>Lost work:</w:t>
      </w:r>
      <w:r>
        <w:t xml:space="preserve"> quotes are not followed up consistently, so winnable jobs go elsewhere.</w:t>
      </w:r>
    </w:p>
    <w:p>
      <w:pPr>
        <w:pStyle w:val="ListBullet"/>
        <w:spacing w:after="40"/>
      </w:pPr>
      <w:r>
        <w:rPr>
          <w:b/>
        </w:rPr>
        <w:t>Slow response:</w:t>
      </w:r>
      <w:r>
        <w:t xml:space="preserve"> a quote takes about five working days to go out.</w:t>
      </w:r>
    </w:p>
    <w:p>
      <w:pPr>
        <w:pStyle w:val="ListBullet"/>
        <w:spacing w:after="40"/>
      </w:pPr>
      <w:r>
        <w:rPr>
          <w:b/>
        </w:rPr>
        <w:t>Missed repeat revenue:</w:t>
      </w:r>
      <w:r>
        <w:t xml:space="preserve"> annual boiler-service reminders are sent by hand, when someone remembers.</w:t>
      </w:r>
    </w:p>
    <w:p>
      <w:pPr>
        <w:pStyle w:val="ListBullet"/>
        <w:spacing w:after="40"/>
      </w:pPr>
      <w:r>
        <w:rPr>
          <w:b/>
        </w:rPr>
        <w:t>Wasted time:</w:t>
      </w:r>
      <w:r>
        <w:t xml:space="preserve"> the office re-keys roughly eight hours of data a week.</w:t>
      </w:r>
    </w:p>
    <w:p>
      <w:pPr>
        <w:pStyle w:val="Heading1"/>
      </w:pPr>
      <w:r>
        <w:t>2. Objectives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9D1DE"/>
          <w:left w:val="single" w:sz="4" w:color="C9D1DE"/>
          <w:bottom w:val="single" w:sz="4" w:color="C9D1DE"/>
          <w:right w:val="single" w:sz="4" w:color="C9D1DE"/>
          <w:insideH w:val="single" w:sz="4" w:color="C9D1DE"/>
          <w:insideV w:val="single" w:sz="4" w:color="C9D1DE"/>
        </w:tblBorders>
        <w:tblLayout w:type="fixed"/>
      </w:tblPr>
      <w:tblGrid>
        <w:gridCol w:w="680"/>
        <w:gridCol w:w="6237"/>
        <w:gridCol w:w="2721"/>
      </w:tblGrid>
      <w:tr>
        <w:trPr>
          <w:tblHeader w:val="true"/>
        </w:trPr>
        <w:tc>
          <w:tcPr>
            <w:tcW w:type="dxa" w:w="680"/>
            <w:shd w:val="clear" w:color="auto" w:fill="0F1D3A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6236"/>
            <w:shd w:val="clear" w:color="auto" w:fill="0F1D3A"/>
          </w:tcPr>
          <w:p>
            <w:r>
              <w:rPr>
                <w:b/>
                <w:color w:val="FFFFFF"/>
                <w:sz w:val="18"/>
              </w:rPr>
              <w:t>Objective (SMART)</w:t>
            </w:r>
          </w:p>
        </w:tc>
        <w:tc>
          <w:tcPr>
            <w:tcW w:type="dxa" w:w="2721"/>
            <w:shd w:val="clear" w:color="auto" w:fill="0F1D3A"/>
          </w:tcPr>
          <w:p>
            <w:r>
              <w:rPr>
                <w:b/>
                <w:color w:val="FFFFFF"/>
                <w:sz w:val="18"/>
              </w:rPr>
              <w:t>Measure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>
              <w:rPr>
                <w:sz w:val="18"/>
              </w:rPr>
              <w:t>O1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Go live with a cloud CRM for all office staff and 6 lead engineers by 20 May 2026</w:t>
            </w:r>
          </w:p>
        </w:tc>
        <w:tc>
          <w:tcPr>
            <w:tcW w:type="dxa" w:w="2721"/>
          </w:tcPr>
          <w:p>
            <w:r>
              <w:rPr>
                <w:sz w:val="18"/>
              </w:rPr>
              <w:t>Go-live milestone M6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>
              <w:rPr>
                <w:sz w:val="18"/>
              </w:rPr>
              <w:t>O2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Deliver within the approved budget of £36,500 (including £3,500 contingency)</w:t>
            </w:r>
          </w:p>
        </w:tc>
        <w:tc>
          <w:tcPr>
            <w:tcW w:type="dxa" w:w="2721"/>
          </w:tcPr>
          <w:p>
            <w:r>
              <w:rPr>
                <w:sz w:val="18"/>
              </w:rPr>
              <w:t>Final cost vs budget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>
              <w:rPr>
                <w:sz w:val="18"/>
              </w:rPr>
              <w:t>O3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Deliver all Must requirements (REQ-01 to REQ-08)</w:t>
            </w:r>
          </w:p>
        </w:tc>
        <w:tc>
          <w:tcPr>
            <w:tcW w:type="dxa" w:w="2721"/>
          </w:tcPr>
          <w:p>
            <w:r>
              <w:rPr>
                <w:sz w:val="18"/>
              </w:rPr>
              <w:t>UAT sign-off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>
              <w:rPr>
                <w:sz w:val="18"/>
              </w:rPr>
              <w:t>O4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Log 100% of new enquiries in the CRM within 2 weeks of go-live</w:t>
            </w:r>
          </w:p>
        </w:tc>
        <w:tc>
          <w:tcPr>
            <w:tcW w:type="dxa" w:w="2721"/>
          </w:tcPr>
          <w:p>
            <w:r>
              <w:rPr>
                <w:sz w:val="18"/>
              </w:rPr>
              <w:t>CRM report vs call log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>
              <w:rPr>
                <w:sz w:val="18"/>
              </w:rPr>
              <w:t>O5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Cut quote turnaround to 2 working days within 6 months</w:t>
            </w:r>
          </w:p>
        </w:tc>
        <w:tc>
          <w:tcPr>
            <w:tcW w:type="dxa" w:w="2721"/>
          </w:tcPr>
          <w:p>
            <w:r>
              <w:rPr>
                <w:sz w:val="18"/>
              </w:rPr>
              <w:t>Benefits review</w:t>
            </w:r>
          </w:p>
        </w:tc>
      </w:tr>
    </w:tbl>
    <w:p>
      <w:pPr>
        <w:spacing w:after="0"/>
      </w:pPr>
    </w:p>
    <w:p>
      <w:pPr>
        <w:pStyle w:val="Heading1"/>
      </w:pPr>
      <w:r>
        <w:t>3. Scope</w:t>
      </w:r>
    </w:p>
    <w:p>
      <w:pPr>
        <w:pStyle w:val="Heading2"/>
      </w:pPr>
      <w:r>
        <w:t>In scope</w:t>
      </w:r>
    </w:p>
    <w:p>
      <w:pPr>
        <w:pStyle w:val="ListBullet"/>
        <w:spacing w:after="40"/>
      </w:pPr>
      <w:r>
        <w:t>Selection and configuration of a SaaS CRM (enquiries, quotes, pipeline, jobs, service reminders)</w:t>
      </w:r>
    </w:p>
    <w:p>
      <w:pPr>
        <w:pStyle w:val="ListBullet"/>
        <w:spacing w:after="40"/>
      </w:pPr>
      <w:r>
        <w:t>Integration with email and the existing accounting package</w:t>
      </w:r>
    </w:p>
    <w:p>
      <w:pPr>
        <w:pStyle w:val="ListBullet"/>
        <w:spacing w:after="40"/>
      </w:pPr>
      <w:r>
        <w:t>Mobile access for engineers on 6 rugged tablets</w:t>
      </w:r>
    </w:p>
    <w:p>
      <w:pPr>
        <w:pStyle w:val="ListBullet"/>
        <w:spacing w:after="40"/>
      </w:pPr>
      <w:r>
        <w:t>Cleansing and migration of active customer records (last 6 years)</w:t>
      </w:r>
    </w:p>
    <w:p>
      <w:pPr>
        <w:pStyle w:val="ListBullet"/>
        <w:spacing w:after="40"/>
      </w:pPr>
      <w:r>
        <w:t>Training, quick-reference guides, a champions network and two weeks of hypercare</w:t>
      </w:r>
    </w:p>
    <w:p>
      <w:pPr>
        <w:pStyle w:val="Heading2"/>
      </w:pPr>
      <w:r>
        <w:t>Out of scope</w:t>
      </w:r>
    </w:p>
    <w:p>
      <w:pPr>
        <w:pStyle w:val="ListBullet"/>
        <w:spacing w:after="40"/>
      </w:pPr>
      <w:r>
        <w:t>Replacing the accounting package (REQ-17)</w:t>
      </w:r>
    </w:p>
    <w:p>
      <w:pPr>
        <w:pStyle w:val="ListBullet"/>
        <w:spacing w:after="40"/>
      </w:pPr>
      <w:r>
        <w:t>Route optimisation for scheduling (REQ-18)</w:t>
      </w:r>
    </w:p>
    <w:p>
      <w:pPr>
        <w:pStyle w:val="ListBullet"/>
        <w:spacing w:after="40"/>
      </w:pPr>
      <w:r>
        <w:t>Website redesign</w:t>
      </w:r>
    </w:p>
    <w:p>
      <w:pPr>
        <w:pStyle w:val="ListBullet"/>
        <w:spacing w:after="40"/>
      </w:pPr>
      <w:r>
        <w:t>Migrating records older than 6 years (archived under the retention rule)</w:t>
      </w:r>
    </w:p>
    <w:p>
      <w:pPr>
        <w:pStyle w:val="Heading1"/>
      </w:pPr>
      <w:r>
        <w:t>4. Business case</w:t>
      </w:r>
    </w:p>
    <w:p>
      <w:pPr>
        <w:pStyle w:val="Heading2"/>
      </w:pPr>
      <w:r>
        <w:t>Options appraisal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9D1DE"/>
          <w:left w:val="single" w:sz="4" w:color="C9D1DE"/>
          <w:bottom w:val="single" w:sz="4" w:color="C9D1DE"/>
          <w:right w:val="single" w:sz="4" w:color="C9D1DE"/>
          <w:insideH w:val="single" w:sz="4" w:color="C9D1DE"/>
          <w:insideV w:val="single" w:sz="4" w:color="C9D1DE"/>
        </w:tblBorders>
        <w:tblLayout w:type="fixed"/>
      </w:tblPr>
      <w:tblGrid>
        <w:gridCol w:w="2608"/>
        <w:gridCol w:w="1701"/>
        <w:gridCol w:w="2494"/>
        <w:gridCol w:w="1814"/>
        <w:gridCol w:w="1077"/>
      </w:tblGrid>
      <w:tr>
        <w:trPr>
          <w:tblHeader w:val="true"/>
        </w:trPr>
        <w:tc>
          <w:tcPr>
            <w:tcW w:type="dxa" w:w="2608"/>
            <w:shd w:val="clear" w:color="auto" w:fill="0F1D3A"/>
          </w:tcPr>
          <w:p>
            <w:r>
              <w:rPr>
                <w:b/>
                <w:color w:val="FFFFFF"/>
                <w:sz w:val="18"/>
              </w:rPr>
              <w:t>Option</w:t>
            </w:r>
          </w:p>
        </w:tc>
        <w:tc>
          <w:tcPr>
            <w:tcW w:type="dxa" w:w="1701"/>
            <w:shd w:val="clear" w:color="auto" w:fill="0F1D3A"/>
          </w:tcPr>
          <w:p>
            <w:r>
              <w:rPr>
                <w:b/>
                <w:color w:val="FFFFFF"/>
                <w:sz w:val="18"/>
              </w:rPr>
              <w:t>One-off cost</w:t>
            </w:r>
          </w:p>
        </w:tc>
        <w:tc>
          <w:tcPr>
            <w:tcW w:type="dxa" w:w="2494"/>
            <w:shd w:val="clear" w:color="auto" w:fill="0F1D3A"/>
          </w:tcPr>
          <w:p>
            <w:r>
              <w:rPr>
                <w:b/>
                <w:color w:val="FFFFFF"/>
                <w:sz w:val="18"/>
              </w:rPr>
              <w:t>Benefit</w:t>
            </w:r>
          </w:p>
        </w:tc>
        <w:tc>
          <w:tcPr>
            <w:tcW w:type="dxa" w:w="1814"/>
            <w:shd w:val="clear" w:color="auto" w:fill="0F1D3A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1077"/>
            <w:shd w:val="clear" w:color="auto" w:fill="0F1D3A"/>
          </w:tcPr>
          <w:p>
            <w:r>
              <w:rPr>
                <w:b/>
                <w:color w:val="FFFFFF"/>
                <w:sz w:val="18"/>
              </w:rPr>
              <w:t>Decision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r>
              <w:rPr>
                <w:b/>
                <w:sz w:val="18"/>
              </w:rPr>
              <w:t>1. Do nothing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£0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None; losses continue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Low delivery risk, high business risk</w:t>
            </w:r>
          </w:p>
        </w:tc>
        <w:tc>
          <w:tcPr>
            <w:tcW w:type="dxa" w:w="1077"/>
          </w:tcPr>
          <w:p>
            <w:r>
              <w:rPr>
                <w:sz w:val="18"/>
              </w:rPr>
              <w:t>Rejected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r>
              <w:rPr>
                <w:b/>
                <w:sz w:val="18"/>
              </w:rPr>
              <w:t>2. Improve spreadsheets and shared inbox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~£4,000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Low: still no single record or reminders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077"/>
          </w:tcPr>
          <w:p>
            <w:r>
              <w:rPr>
                <w:sz w:val="18"/>
              </w:rPr>
              <w:t>Rejected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r>
              <w:rPr>
                <w:b/>
                <w:sz w:val="18"/>
              </w:rPr>
              <w:t>3. SaaS CRM, configured by a partner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£36,500 incl. contingency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High: meets all Must and most Should needs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Medium (data, adoption)</w:t>
            </w:r>
          </w:p>
        </w:tc>
        <w:tc>
          <w:tcPr>
            <w:tcW w:type="dxa" w:w="1077"/>
          </w:tcPr>
          <w:p>
            <w:r>
              <w:rPr>
                <w:sz w:val="18"/>
              </w:rPr>
              <w:t>Recommended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r>
              <w:rPr>
                <w:b/>
                <w:sz w:val="18"/>
              </w:rPr>
              <w:t>4. Bespoke system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£60,000+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High, but slow to deliver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High (cost, time, support)</w:t>
            </w:r>
          </w:p>
        </w:tc>
        <w:tc>
          <w:tcPr>
            <w:tcW w:type="dxa" w:w="1077"/>
          </w:tcPr>
          <w:p>
            <w:r>
              <w:rPr>
                <w:sz w:val="18"/>
              </w:rPr>
              <w:t>Rejected</w:t>
            </w:r>
          </w:p>
        </w:tc>
      </w:tr>
    </w:tbl>
    <w:p>
      <w:pPr>
        <w:spacing w:after="0"/>
      </w:pPr>
    </w:p>
    <w:p>
      <w:pPr>
        <w:pStyle w:val="Heading2"/>
      </w:pPr>
      <w:r>
        <w:t>Costs (option 3)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9D1DE"/>
          <w:left w:val="single" w:sz="4" w:color="C9D1DE"/>
          <w:bottom w:val="single" w:sz="4" w:color="C9D1DE"/>
          <w:right w:val="single" w:sz="4" w:color="C9D1DE"/>
          <w:insideH w:val="single" w:sz="4" w:color="C9D1DE"/>
          <w:insideV w:val="single" w:sz="4" w:color="C9D1DE"/>
        </w:tblBorders>
        <w:tblLayout w:type="fixed"/>
      </w:tblPr>
      <w:tblGrid>
        <w:gridCol w:w="6804"/>
        <w:gridCol w:w="2835"/>
      </w:tblGrid>
      <w:tr>
        <w:trPr>
          <w:tblHeader w:val="true"/>
        </w:trPr>
        <w:tc>
          <w:tcPr>
            <w:tcW w:type="dxa" w:w="6803"/>
            <w:shd w:val="clear" w:color="auto" w:fill="0F1D3A"/>
          </w:tcPr>
          <w:p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2835"/>
            <w:shd w:val="clear" w:color="auto" w:fill="0F1D3A"/>
          </w:tcPr>
          <w:p>
            <w:r>
              <w:rPr>
                <w:b/>
                <w:color w:val="FFFFFF"/>
                <w:sz w:val="18"/>
              </w:rPr>
              <w:t>Budget</w:t>
            </w:r>
          </w:p>
        </w:tc>
      </w:tr>
      <w:tr>
        <w:trPr>
          <w:cantSplit w:val="true"/>
        </w:trPr>
        <w:tc>
          <w:tcPr>
            <w:tcW w:type="dxa" w:w="6803"/>
          </w:tcPr>
          <w:p>
            <w:r>
              <w:rPr>
                <w:sz w:val="18"/>
              </w:rPr>
              <w:t>CRM licences (18 users, year 1)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£6,800</w:t>
            </w:r>
          </w:p>
        </w:tc>
      </w:tr>
      <w:tr>
        <w:trPr>
          <w:cantSplit w:val="true"/>
        </w:trPr>
        <w:tc>
          <w:tcPr>
            <w:tcW w:type="dxa" w:w="6803"/>
          </w:tcPr>
          <w:p>
            <w:r>
              <w:rPr>
                <w:sz w:val="18"/>
              </w:rPr>
              <w:t>Supplier configuration and integration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£9,500</w:t>
            </w:r>
          </w:p>
        </w:tc>
      </w:tr>
      <w:tr>
        <w:trPr>
          <w:cantSplit w:val="true"/>
        </w:trPr>
        <w:tc>
          <w:tcPr>
            <w:tcW w:type="dxa" w:w="6803"/>
          </w:tcPr>
          <w:p>
            <w:r>
              <w:rPr>
                <w:sz w:val="18"/>
              </w:rPr>
              <w:t>Data migration and cleansing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£4,200</w:t>
            </w:r>
          </w:p>
        </w:tc>
      </w:tr>
      <w:tr>
        <w:trPr>
          <w:cantSplit w:val="true"/>
        </w:trPr>
        <w:tc>
          <w:tcPr>
            <w:tcW w:type="dxa" w:w="6803"/>
          </w:tcPr>
          <w:p>
            <w:r>
              <w:rPr>
                <w:sz w:val="18"/>
              </w:rPr>
              <w:t>Training and materials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£3,000</w:t>
            </w:r>
          </w:p>
        </w:tc>
      </w:tr>
      <w:tr>
        <w:trPr>
          <w:cantSplit w:val="true"/>
        </w:trPr>
        <w:tc>
          <w:tcPr>
            <w:tcW w:type="dxa" w:w="6803"/>
          </w:tcPr>
          <w:p>
            <w:r>
              <w:rPr>
                <w:sz w:val="18"/>
              </w:rPr>
              <w:t>Internal staff time (backfill)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£6,000</w:t>
            </w:r>
          </w:p>
        </w:tc>
      </w:tr>
      <w:tr>
        <w:trPr>
          <w:cantSplit w:val="true"/>
        </w:trPr>
        <w:tc>
          <w:tcPr>
            <w:tcW w:type="dxa" w:w="6803"/>
          </w:tcPr>
          <w:p>
            <w:r>
              <w:rPr>
                <w:sz w:val="18"/>
              </w:rPr>
              <w:t>Hardware (6 rugged tablets and cases)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£3,500</w:t>
            </w:r>
          </w:p>
        </w:tc>
      </w:tr>
      <w:tr>
        <w:trPr>
          <w:cantSplit w:val="true"/>
        </w:trPr>
        <w:tc>
          <w:tcPr>
            <w:tcW w:type="dxa" w:w="6803"/>
          </w:tcPr>
          <w:p>
            <w:r>
              <w:rPr>
                <w:sz w:val="18"/>
              </w:rPr>
              <w:t>Base budget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£33,000</w:t>
            </w:r>
          </w:p>
        </w:tc>
      </w:tr>
      <w:tr>
        <w:trPr>
          <w:cantSplit w:val="true"/>
        </w:trPr>
        <w:tc>
          <w:tcPr>
            <w:tcW w:type="dxa" w:w="6803"/>
          </w:tcPr>
          <w:p>
            <w:r>
              <w:rPr>
                <w:sz w:val="18"/>
              </w:rPr>
              <w:t>Contingency (about 10%)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£3,500</w:t>
            </w:r>
          </w:p>
        </w:tc>
      </w:tr>
      <w:tr>
        <w:trPr>
          <w:cantSplit w:val="true"/>
        </w:trPr>
        <w:tc>
          <w:tcPr>
            <w:tcW w:type="dxa" w:w="6803"/>
            <w:shd w:val="clear" w:color="auto" w:fill="EEF1F6"/>
          </w:tcPr>
          <w:p>
            <w:r>
              <w:rPr>
                <w:b/>
                <w:sz w:val="18"/>
              </w:rPr>
              <w:t>Total approved budget</w:t>
            </w:r>
          </w:p>
        </w:tc>
        <w:tc>
          <w:tcPr>
            <w:tcW w:type="dxa" w:w="2835"/>
            <w:shd w:val="clear" w:color="auto" w:fill="EEF1F6"/>
          </w:tcPr>
          <w:p>
            <w:r>
              <w:rPr>
                <w:b/>
                <w:sz w:val="18"/>
              </w:rPr>
              <w:t>£36,500</w:t>
            </w:r>
          </w:p>
        </w:tc>
      </w:tr>
    </w:tbl>
    <w:p>
      <w:pPr>
        <w:spacing w:after="0"/>
      </w:pPr>
    </w:p>
    <w:p>
      <w:pPr>
        <w:pStyle w:val="Heading2"/>
      </w:pPr>
      <w:r>
        <w:t>Expected benefits (illustrative estimates)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9D1DE"/>
          <w:left w:val="single" w:sz="4" w:color="C9D1DE"/>
          <w:bottom w:val="single" w:sz="4" w:color="C9D1DE"/>
          <w:right w:val="single" w:sz="4" w:color="C9D1DE"/>
          <w:insideH w:val="single" w:sz="4" w:color="C9D1DE"/>
          <w:insideV w:val="single" w:sz="4" w:color="C9D1DE"/>
        </w:tblBorders>
        <w:tblLayout w:type="fixed"/>
      </w:tblPr>
      <w:tblGrid>
        <w:gridCol w:w="2041"/>
        <w:gridCol w:w="1701"/>
        <w:gridCol w:w="2154"/>
        <w:gridCol w:w="2268"/>
        <w:gridCol w:w="1474"/>
      </w:tblGrid>
      <w:tr>
        <w:trPr>
          <w:tblHeader w:val="true"/>
        </w:trPr>
        <w:tc>
          <w:tcPr>
            <w:tcW w:type="dxa" w:w="2041"/>
            <w:shd w:val="clear" w:color="auto" w:fill="0F1D3A"/>
          </w:tcPr>
          <w:p>
            <w:r>
              <w:rPr>
                <w:b/>
                <w:color w:val="FFFFFF"/>
                <w:sz w:val="18"/>
              </w:rPr>
              <w:t>Benefit</w:t>
            </w:r>
          </w:p>
        </w:tc>
        <w:tc>
          <w:tcPr>
            <w:tcW w:type="dxa" w:w="1701"/>
            <w:shd w:val="clear" w:color="auto" w:fill="0F1D3A"/>
          </w:tcPr>
          <w:p>
            <w:r>
              <w:rPr>
                <w:b/>
                <w:color w:val="FFFFFF"/>
                <w:sz w:val="18"/>
              </w:rPr>
              <w:t>Baseline</w:t>
            </w:r>
          </w:p>
        </w:tc>
        <w:tc>
          <w:tcPr>
            <w:tcW w:type="dxa" w:w="2154"/>
            <w:shd w:val="clear" w:color="auto" w:fill="0F1D3A"/>
          </w:tcPr>
          <w:p>
            <w:r>
              <w:rPr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2268"/>
            <w:shd w:val="clear" w:color="auto" w:fill="0F1D3A"/>
          </w:tcPr>
          <w:p>
            <w:r>
              <w:rPr>
                <w:b/>
                <w:color w:val="FFFFFF"/>
                <w:sz w:val="18"/>
              </w:rPr>
              <w:t>How measured</w:t>
            </w:r>
          </w:p>
        </w:tc>
        <w:tc>
          <w:tcPr>
            <w:tcW w:type="dxa" w:w="1474"/>
            <w:shd w:val="clear" w:color="auto" w:fill="0F1D3A"/>
          </w:tcPr>
          <w:p>
            <w:r>
              <w:rPr>
                <w:b/>
                <w:color w:val="FFFFFF"/>
                <w:sz w:val="18"/>
              </w:rPr>
              <w:t>Owner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r>
              <w:rPr>
                <w:sz w:val="18"/>
              </w:rPr>
              <w:t>Quote turnaround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~5 working days (estimate)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2 working days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CRM report: enquiry to quote sent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Tom Reilly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r>
              <w:rPr>
                <w:sz w:val="18"/>
              </w:rPr>
              <w:t>Quotes followed up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~40% (estimate)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90%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Pipeline follow-up tasks completed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Tom Reilly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r>
              <w:rPr>
                <w:sz w:val="18"/>
              </w:rPr>
              <w:t>Admin re-keying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~8 hours a week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Save 6 hours a week (~£5,000 a year)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Time sample before and after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Priya Shah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r>
              <w:rPr>
                <w:sz w:val="18"/>
              </w:rPr>
              <w:t>Boiler-service bookings from reminders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No automated reminders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+120 bookings a year (~£10,200)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Service jobs created from reminders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Dave Pearson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r>
              <w:rPr>
                <w:sz w:val="18"/>
              </w:rPr>
              <w:t>Quote conversion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~32% (estimate)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+3 percentage points (~£8,000 margin a year)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Won / sent quotes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Helen Marsh</w:t>
            </w:r>
          </w:p>
        </w:tc>
      </w:tr>
    </w:tbl>
    <w:p>
      <w:pPr>
        <w:spacing w:after="0"/>
      </w:pPr>
    </w:p>
    <w:p>
      <w:pPr>
        <w:pStyle w:val="Heading2"/>
      </w:pPr>
      <w:r>
        <w:t>Three-year view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9D1DE"/>
          <w:left w:val="single" w:sz="4" w:color="C9D1DE"/>
          <w:bottom w:val="single" w:sz="4" w:color="C9D1DE"/>
          <w:right w:val="single" w:sz="4" w:color="C9D1DE"/>
          <w:insideH w:val="single" w:sz="4" w:color="C9D1DE"/>
          <w:insideV w:val="single" w:sz="4" w:color="C9D1DE"/>
        </w:tblBorders>
        <w:tblLayout w:type="fixed"/>
      </w:tblPr>
      <w:tblGrid>
        <w:gridCol w:w="3515"/>
        <w:gridCol w:w="1474"/>
        <w:gridCol w:w="1474"/>
        <w:gridCol w:w="1474"/>
        <w:gridCol w:w="1701"/>
      </w:tblGrid>
      <w:tr>
        <w:trPr>
          <w:tblHeader w:val="true"/>
        </w:trPr>
        <w:tc>
          <w:tcPr>
            <w:tcW w:type="dxa" w:w="3515"/>
            <w:shd w:val="clear" w:color="auto" w:fill="0F1D3A"/>
          </w:tcPr>
          <w:p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1474"/>
            <w:shd w:val="clear" w:color="auto" w:fill="0F1D3A"/>
          </w:tcPr>
          <w:p>
            <w:r>
              <w:rPr>
                <w:b/>
                <w:color w:val="FFFFFF"/>
                <w:sz w:val="18"/>
              </w:rPr>
              <w:t>Year 1</w:t>
            </w:r>
          </w:p>
        </w:tc>
        <w:tc>
          <w:tcPr>
            <w:tcW w:type="dxa" w:w="1474"/>
            <w:shd w:val="clear" w:color="auto" w:fill="0F1D3A"/>
          </w:tcPr>
          <w:p>
            <w:r>
              <w:rPr>
                <w:b/>
                <w:color w:val="FFFFFF"/>
                <w:sz w:val="18"/>
              </w:rPr>
              <w:t>Year 2</w:t>
            </w:r>
          </w:p>
        </w:tc>
        <w:tc>
          <w:tcPr>
            <w:tcW w:type="dxa" w:w="1474"/>
            <w:shd w:val="clear" w:color="auto" w:fill="0F1D3A"/>
          </w:tcPr>
          <w:p>
            <w:r>
              <w:rPr>
                <w:b/>
                <w:color w:val="FFFFFF"/>
                <w:sz w:val="18"/>
              </w:rPr>
              <w:t>Year 3</w:t>
            </w:r>
          </w:p>
        </w:tc>
        <w:tc>
          <w:tcPr>
            <w:tcW w:type="dxa" w:w="1701"/>
            <w:shd w:val="clear" w:color="auto" w:fill="0F1D3A"/>
          </w:tcPr>
          <w:p>
            <w:r>
              <w:rPr>
                <w:b/>
                <w:color w:val="FFFFFF"/>
                <w:sz w:val="18"/>
              </w:rPr>
              <w:t>Total</w:t>
            </w:r>
          </w:p>
        </w:tc>
      </w:tr>
      <w:tr>
        <w:trPr>
          <w:cantSplit w:val="true"/>
        </w:trPr>
        <w:tc>
          <w:tcPr>
            <w:tcW w:type="dxa" w:w="3515"/>
          </w:tcPr>
          <w:p>
            <w:r>
              <w:rPr>
                <w:sz w:val="18"/>
              </w:rPr>
              <w:t>Costs (project, then licences and support)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£36,500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£7,100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£7,300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£50,900</w:t>
            </w:r>
          </w:p>
        </w:tc>
      </w:tr>
      <w:tr>
        <w:trPr>
          <w:cantSplit w:val="true"/>
        </w:trPr>
        <w:tc>
          <w:tcPr>
            <w:tcW w:type="dxa" w:w="3515"/>
          </w:tcPr>
          <w:p>
            <w:r>
              <w:rPr>
                <w:sz w:val="18"/>
              </w:rPr>
              <w:t>Benefits (half-year realisation in year 1)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£11,600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£23,200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£23,200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£58,000</w:t>
            </w:r>
          </w:p>
        </w:tc>
      </w:tr>
      <w:tr>
        <w:trPr>
          <w:cantSplit w:val="true"/>
        </w:trPr>
        <w:tc>
          <w:tcPr>
            <w:tcW w:type="dxa" w:w="3515"/>
          </w:tcPr>
          <w:p>
            <w:r>
              <w:rPr>
                <w:sz w:val="18"/>
              </w:rPr>
              <w:t>Net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−£24,900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+£16,100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+£15,900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+£7,100</w:t>
            </w:r>
          </w:p>
        </w:tc>
      </w:tr>
    </w:tbl>
    <w:p>
      <w:pPr>
        <w:spacing w:after="0"/>
      </w:pPr>
    </w:p>
    <w:p>
      <w:r>
        <w:rPr>
          <w:i w:val="0"/>
          <w:sz w:val="19"/>
        </w:rPr>
        <w:t>Payback is expected during year 3 (around month 30). The case depends most on adoption by engineers and office staff (risk R02), so benefits will be reviewed at 3 and 6 months after go-live.</w:t>
      </w:r>
    </w:p>
    <w:p>
      <w:pPr>
        <w:pStyle w:val="Heading1"/>
      </w:pPr>
      <w:r>
        <w:t>5. Milestones (baseline)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9D1DE"/>
          <w:left w:val="single" w:sz="4" w:color="C9D1DE"/>
          <w:bottom w:val="single" w:sz="4" w:color="C9D1DE"/>
          <w:right w:val="single" w:sz="4" w:color="C9D1DE"/>
          <w:insideH w:val="single" w:sz="4" w:color="C9D1DE"/>
          <w:insideV w:val="single" w:sz="4" w:color="C9D1DE"/>
        </w:tblBorders>
        <w:tblLayout w:type="fixed"/>
      </w:tblPr>
      <w:tblGrid>
        <w:gridCol w:w="5103"/>
        <w:gridCol w:w="2268"/>
        <w:gridCol w:w="2268"/>
      </w:tblGrid>
      <w:tr>
        <w:trPr>
          <w:tblHeader w:val="true"/>
        </w:trPr>
        <w:tc>
          <w:tcPr>
            <w:tcW w:type="dxa" w:w="5102"/>
            <w:shd w:val="clear" w:color="auto" w:fill="0F1D3A"/>
          </w:tcPr>
          <w:p>
            <w:r>
              <w:rPr>
                <w:b/>
                <w:color w:val="FFFFFF"/>
                <w:sz w:val="18"/>
              </w:rPr>
              <w:t>Milestone</w:t>
            </w:r>
          </w:p>
        </w:tc>
        <w:tc>
          <w:tcPr>
            <w:tcW w:type="dxa" w:w="2268"/>
            <w:shd w:val="clear" w:color="auto" w:fill="0F1D3A"/>
          </w:tcPr>
          <w:p>
            <w:r>
              <w:rPr>
                <w:b/>
                <w:color w:val="FFFFFF"/>
                <w:sz w:val="18"/>
              </w:rPr>
              <w:t>Baseline date</w:t>
            </w:r>
          </w:p>
        </w:tc>
        <w:tc>
          <w:tcPr>
            <w:tcW w:type="dxa" w:w="2268"/>
            <w:shd w:val="clear" w:color="auto" w:fill="0F1D3A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rPr>
          <w:cantSplit w:val="true"/>
        </w:trPr>
        <w:tc>
          <w:tcPr>
            <w:tcW w:type="dxa" w:w="5102"/>
          </w:tcPr>
          <w:p>
            <w:r>
              <w:rPr>
                <w:sz w:val="18"/>
              </w:rPr>
              <w:t>M1 Charter and business case approved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11 Mar 2026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Helen Marsh</w:t>
            </w:r>
          </w:p>
        </w:tc>
      </w:tr>
      <w:tr>
        <w:trPr>
          <w:cantSplit w:val="true"/>
        </w:trPr>
        <w:tc>
          <w:tcPr>
            <w:tcW w:type="dxa" w:w="5102"/>
          </w:tcPr>
          <w:p>
            <w:r>
              <w:rPr>
                <w:sz w:val="18"/>
              </w:rPr>
              <w:t>M2 Requirements signed off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24 Mar 2026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Dave Pearson</w:t>
            </w:r>
          </w:p>
        </w:tc>
      </w:tr>
      <w:tr>
        <w:trPr>
          <w:cantSplit w:val="true"/>
        </w:trPr>
        <w:tc>
          <w:tcPr>
            <w:tcW w:type="dxa" w:w="5102"/>
          </w:tcPr>
          <w:p>
            <w:r>
              <w:rPr>
                <w:sz w:val="18"/>
              </w:rPr>
              <w:t>M3 Supplier selected and contract signed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07 Apr 2026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Helen Marsh</w:t>
            </w:r>
          </w:p>
        </w:tc>
      </w:tr>
      <w:tr>
        <w:trPr>
          <w:cantSplit w:val="true"/>
        </w:trPr>
        <w:tc>
          <w:tcPr>
            <w:tcW w:type="dxa" w:w="5102"/>
          </w:tcPr>
          <w:p>
            <w:r>
              <w:rPr>
                <w:sz w:val="18"/>
              </w:rPr>
              <w:t>M4 Configuration complete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12 May 2026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Sam Carter</w:t>
            </w:r>
          </w:p>
        </w:tc>
      </w:tr>
      <w:tr>
        <w:trPr>
          <w:cantSplit w:val="true"/>
        </w:trPr>
        <w:tc>
          <w:tcPr>
            <w:tcW w:type="dxa" w:w="5102"/>
          </w:tcPr>
          <w:p>
            <w:r>
              <w:rPr>
                <w:sz w:val="18"/>
              </w:rPr>
              <w:t>M5 Go/no-go decision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18 May 2026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Helen Marsh</w:t>
            </w:r>
          </w:p>
        </w:tc>
      </w:tr>
      <w:tr>
        <w:trPr>
          <w:cantSplit w:val="true"/>
        </w:trPr>
        <w:tc>
          <w:tcPr>
            <w:tcW w:type="dxa" w:w="5102"/>
          </w:tcPr>
          <w:p>
            <w:r>
              <w:rPr>
                <w:sz w:val="18"/>
              </w:rPr>
              <w:t>M6 Go-live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20 May 2026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Helen Marsh</w:t>
            </w:r>
          </w:p>
        </w:tc>
      </w:tr>
      <w:tr>
        <w:trPr>
          <w:cantSplit w:val="true"/>
        </w:trPr>
        <w:tc>
          <w:tcPr>
            <w:tcW w:type="dxa" w:w="5102"/>
          </w:tcPr>
          <w:p>
            <w:r>
              <w:rPr>
                <w:sz w:val="18"/>
              </w:rPr>
              <w:t>M7 Project closed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10 Jun 2026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Helen Marsh</w:t>
            </w:r>
          </w:p>
        </w:tc>
      </w:tr>
    </w:tbl>
    <w:p>
      <w:pPr>
        <w:spacing w:after="0"/>
      </w:pPr>
    </w:p>
    <w:p>
      <w:pPr>
        <w:pStyle w:val="Heading1"/>
      </w:pPr>
      <w:r>
        <w:t>6. Governance and tolerances</w:t>
      </w:r>
    </w:p>
    <w:p>
      <w:r>
        <w:rPr>
          <w:i w:val="0"/>
          <w:sz w:val="20"/>
        </w:rPr>
        <w:t>Governance follows PRINCE2 principles covered in my MSc module (Managing Projects with PRINCE2): a small project board, management by stages and management by exception against agreed tolerances.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9D1DE"/>
          <w:left w:val="single" w:sz="4" w:color="C9D1DE"/>
          <w:bottom w:val="single" w:sz="4" w:color="C9D1DE"/>
          <w:right w:val="single" w:sz="4" w:color="C9D1DE"/>
          <w:insideH w:val="single" w:sz="4" w:color="C9D1DE"/>
          <w:insideV w:val="single" w:sz="4" w:color="C9D1DE"/>
        </w:tblBorders>
        <w:tblLayout w:type="fixed"/>
      </w:tblPr>
      <w:tblGrid>
        <w:gridCol w:w="2041"/>
        <w:gridCol w:w="3061"/>
        <w:gridCol w:w="4536"/>
      </w:tblGrid>
      <w:tr>
        <w:trPr>
          <w:tblHeader w:val="true"/>
        </w:trPr>
        <w:tc>
          <w:tcPr>
            <w:tcW w:type="dxa" w:w="2041"/>
            <w:shd w:val="clear" w:color="auto" w:fill="0F1D3A"/>
          </w:tcPr>
          <w:p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3061"/>
            <w:shd w:val="clear" w:color="auto" w:fill="0F1D3A"/>
          </w:tcPr>
          <w:p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4535"/>
            <w:shd w:val="clear" w:color="auto" w:fill="0F1D3A"/>
          </w:tcPr>
          <w:p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r>
              <w:rPr>
                <w:sz w:val="18"/>
              </w:rPr>
              <w:t>Executive (Sponsor)</w:t>
            </w:r>
          </w:p>
        </w:tc>
        <w:tc>
          <w:tcPr>
            <w:tcW w:type="dxa" w:w="3061"/>
          </w:tcPr>
          <w:p>
            <w:r>
              <w:rPr>
                <w:sz w:val="18"/>
              </w:rPr>
              <w:t>Helen Marsh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Owns the business case; approves stages, changes over £500 and go/no-go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r>
              <w:rPr>
                <w:sz w:val="18"/>
              </w:rPr>
              <w:t>Senior User</w:t>
            </w:r>
          </w:p>
        </w:tc>
        <w:tc>
          <w:tcPr>
            <w:tcW w:type="dxa" w:w="3061"/>
          </w:tcPr>
          <w:p>
            <w:r>
              <w:rPr>
                <w:sz w:val="18"/>
              </w:rPr>
              <w:t>Dave Pearson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Represents users; signs off requirements and UAT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r>
              <w:rPr>
                <w:sz w:val="18"/>
              </w:rPr>
              <w:t>Senior Supplier</w:t>
            </w:r>
          </w:p>
        </w:tc>
        <w:tc>
          <w:tcPr>
            <w:tcW w:type="dxa" w:w="3061"/>
          </w:tcPr>
          <w:p>
            <w:r>
              <w:rPr>
                <w:sz w:val="18"/>
              </w:rPr>
              <w:t>Sam Carter (Northlight CRM Partners, fictional)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Delivers configuration, integration and migration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r>
              <w:rPr>
                <w:sz w:val="18"/>
              </w:rPr>
              <w:t>Project Manager</w:t>
            </w:r>
          </w:p>
        </w:tc>
        <w:tc>
          <w:tcPr>
            <w:tcW w:type="dxa" w:w="3061"/>
          </w:tcPr>
          <w:p>
            <w:r>
              <w:rPr>
                <w:sz w:val="18"/>
              </w:rPr>
              <w:t>Chidera Ikenna-Obi (simulated role)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Day-to-day planning, RAID, reporting and change control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r>
              <w:rPr>
                <w:sz w:val="18"/>
              </w:rPr>
              <w:t>Lead CRM Champion</w:t>
            </w:r>
          </w:p>
        </w:tc>
        <w:tc>
          <w:tcPr>
            <w:tcW w:type="dxa" w:w="3061"/>
          </w:tcPr>
          <w:p>
            <w:r>
              <w:rPr>
                <w:sz w:val="18"/>
              </w:rPr>
              <w:t>Priya Shah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Data rules, training, champions network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9D1DE"/>
          <w:left w:val="single" w:sz="4" w:color="C9D1DE"/>
          <w:bottom w:val="single" w:sz="4" w:color="C9D1DE"/>
          <w:right w:val="single" w:sz="4" w:color="C9D1DE"/>
          <w:insideH w:val="single" w:sz="4" w:color="C9D1DE"/>
          <w:insideV w:val="single" w:sz="4" w:color="C9D1DE"/>
        </w:tblBorders>
        <w:tblLayout w:type="fixed"/>
      </w:tblPr>
      <w:tblGrid>
        <w:gridCol w:w="1474"/>
        <w:gridCol w:w="4195"/>
        <w:gridCol w:w="3969"/>
      </w:tblGrid>
      <w:tr>
        <w:trPr>
          <w:tblHeader w:val="true"/>
        </w:trPr>
        <w:tc>
          <w:tcPr>
            <w:tcW w:type="dxa" w:w="1474"/>
            <w:shd w:val="clear" w:color="auto" w:fill="0F1D3A"/>
          </w:tcPr>
          <w:p>
            <w:r>
              <w:rPr>
                <w:b/>
                <w:color w:val="FFFFFF"/>
                <w:sz w:val="18"/>
              </w:rPr>
              <w:t>Tolerance</w:t>
            </w:r>
          </w:p>
        </w:tc>
        <w:tc>
          <w:tcPr>
            <w:tcW w:type="dxa" w:w="4195"/>
            <w:shd w:val="clear" w:color="auto" w:fill="0F1D3A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3969"/>
            <w:shd w:val="clear" w:color="auto" w:fill="0F1D3A"/>
          </w:tcPr>
          <w:p>
            <w:r>
              <w:rPr>
                <w:b/>
                <w:color w:val="FFFFFF"/>
                <w:sz w:val="18"/>
              </w:rPr>
              <w:t>If forecast to be exceeded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r>
              <w:rPr>
                <w:sz w:val="18"/>
              </w:rPr>
              <w:t>Time</w:t>
            </w:r>
          </w:p>
        </w:tc>
        <w:tc>
          <w:tcPr>
            <w:tcW w:type="dxa" w:w="4195"/>
          </w:tcPr>
          <w:p>
            <w:r>
              <w:rPr>
                <w:sz w:val="18"/>
              </w:rPr>
              <w:t>±1 week (5 working days) on go-live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Exception report to sponsor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r>
              <w:rPr>
                <w:sz w:val="18"/>
              </w:rPr>
              <w:t>Cost</w:t>
            </w:r>
          </w:p>
        </w:tc>
        <w:tc>
          <w:tcPr>
            <w:tcW w:type="dxa" w:w="4195"/>
          </w:tcPr>
          <w:p>
            <w:r>
              <w:rPr>
                <w:sz w:val="18"/>
              </w:rPr>
              <w:t>Up to £3,500 contingency, released by the sponsor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Exception report; re-plan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r>
              <w:rPr>
                <w:sz w:val="18"/>
              </w:rPr>
              <w:t>Scope</w:t>
            </w:r>
          </w:p>
        </w:tc>
        <w:tc>
          <w:tcPr>
            <w:tcW w:type="dxa" w:w="4195"/>
          </w:tcPr>
          <w:p>
            <w:r>
              <w:rPr>
                <w:sz w:val="18"/>
              </w:rPr>
              <w:t>Must requirements fixed; Should/Could can be traded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Change request</w:t>
            </w:r>
          </w:p>
        </w:tc>
      </w:tr>
    </w:tbl>
    <w:p>
      <w:pPr>
        <w:spacing w:after="0"/>
      </w:pPr>
    </w:p>
    <w:p>
      <w:pPr>
        <w:pStyle w:val="Heading1"/>
      </w:pPr>
      <w:r>
        <w:t>7. Key risks (see RAID log)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9D1DE"/>
          <w:left w:val="single" w:sz="4" w:color="C9D1DE"/>
          <w:bottom w:val="single" w:sz="4" w:color="C9D1DE"/>
          <w:right w:val="single" w:sz="4" w:color="C9D1DE"/>
          <w:insideH w:val="single" w:sz="4" w:color="C9D1DE"/>
          <w:insideV w:val="single" w:sz="4" w:color="C9D1DE"/>
        </w:tblBorders>
        <w:tblLayout w:type="fixed"/>
      </w:tblPr>
      <w:tblGrid>
        <w:gridCol w:w="680"/>
        <w:gridCol w:w="3005"/>
        <w:gridCol w:w="1020"/>
        <w:gridCol w:w="4932"/>
      </w:tblGrid>
      <w:tr>
        <w:trPr>
          <w:tblHeader w:val="true"/>
        </w:trPr>
        <w:tc>
          <w:tcPr>
            <w:tcW w:type="dxa" w:w="680"/>
            <w:shd w:val="clear" w:color="auto" w:fill="0F1D3A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005"/>
            <w:shd w:val="clear" w:color="auto" w:fill="0F1D3A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1020"/>
            <w:shd w:val="clear" w:color="auto" w:fill="0F1D3A"/>
          </w:tcPr>
          <w:p>
            <w:r>
              <w:rPr>
                <w:b/>
                <w:color w:val="FFFFFF"/>
                <w:sz w:val="18"/>
              </w:rPr>
              <w:t>P × I</w:t>
            </w:r>
          </w:p>
        </w:tc>
        <w:tc>
          <w:tcPr>
            <w:tcW w:type="dxa" w:w="4932"/>
            <w:shd w:val="clear" w:color="auto" w:fill="0F1D3A"/>
          </w:tcPr>
          <w:p>
            <w:r>
              <w:rPr>
                <w:b/>
                <w:color w:val="FFFFFF"/>
                <w:sz w:val="18"/>
              </w:rPr>
              <w:t>Response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>
              <w:rPr>
                <w:sz w:val="18"/>
              </w:rPr>
              <w:t>R01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Poor legacy data quality delays migration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4×4 = 16</w:t>
            </w:r>
          </w:p>
        </w:tc>
        <w:tc>
          <w:tcPr>
            <w:tcW w:type="dxa" w:w="4932"/>
          </w:tcPr>
          <w:p>
            <w:r>
              <w:rPr>
                <w:sz w:val="18"/>
              </w:rPr>
              <w:t>Reduce: data audit in week 3; cleansing rules agreed; supplier-assisted de-duplication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>
              <w:rPr>
                <w:sz w:val="18"/>
              </w:rPr>
              <w:t>R02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Field engineers do not adopt the mobile app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3×4 = 12</w:t>
            </w:r>
          </w:p>
        </w:tc>
        <w:tc>
          <w:tcPr>
            <w:tcW w:type="dxa" w:w="4932"/>
          </w:tcPr>
          <w:p>
            <w:r>
              <w:rPr>
                <w:sz w:val="18"/>
              </w:rPr>
              <w:t>Reduce: Field Supervisor co-designs screens; champions; short hands-on training; usage tracked in hypercare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>
              <w:rPr>
                <w:sz w:val="18"/>
              </w:rPr>
              <w:t>R03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Accounting integration more complex than quoted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3×4 = 12</w:t>
            </w:r>
          </w:p>
        </w:tc>
        <w:tc>
          <w:tcPr>
            <w:tcW w:type="dxa" w:w="4932"/>
          </w:tcPr>
          <w:p>
            <w:r>
              <w:rPr>
                <w:sz w:val="18"/>
              </w:rPr>
              <w:t>Reduce: supplier technical call before contract; contingency held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>
              <w:rPr>
                <w:sz w:val="18"/>
              </w:rPr>
              <w:t>R06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Customer data migrated without proper retention review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2×5 = 10</w:t>
            </w:r>
          </w:p>
        </w:tc>
        <w:tc>
          <w:tcPr>
            <w:tcW w:type="dxa" w:w="4932"/>
          </w:tcPr>
          <w:p>
            <w:r>
              <w:rPr>
                <w:sz w:val="18"/>
              </w:rPr>
              <w:t>Reduce: 6-year retention rule; records older than this archived, not migrated; privacy notice updated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>
              <w:rPr>
                <w:sz w:val="18"/>
              </w:rPr>
              <w:t>R04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Key staff unavailable for UAT and training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3×3 = 9</w:t>
            </w:r>
          </w:p>
        </w:tc>
        <w:tc>
          <w:tcPr>
            <w:tcW w:type="dxa" w:w="4932"/>
          </w:tcPr>
          <w:p>
            <w:r>
              <w:rPr>
                <w:sz w:val="18"/>
              </w:rPr>
              <w:t>Reduce: dates booked at M2; backfill budget; two training sessions per group</w:t>
            </w:r>
          </w:p>
        </w:tc>
      </w:tr>
    </w:tbl>
    <w:p>
      <w:pPr>
        <w:spacing w:after="0"/>
      </w:pPr>
    </w:p>
    <w:p>
      <w:pPr>
        <w:pStyle w:val="Heading1"/>
      </w:pPr>
      <w:r>
        <w:t>8. Assumptions, constraints and dependencies</w:t>
      </w:r>
    </w:p>
    <w:p>
      <w:pPr>
        <w:pStyle w:val="ListBullet"/>
        <w:spacing w:after="40"/>
      </w:pPr>
      <w:r>
        <w:t>18 named CRM users is enough for year 1 (office team plus 6 tablet users)</w:t>
      </w:r>
    </w:p>
    <w:p>
      <w:pPr>
        <w:pStyle w:val="ListBullet"/>
        <w:spacing w:after="40"/>
      </w:pPr>
      <w:r>
        <w:t>Key users can give one day a week to workshops, UAT and training</w:t>
      </w:r>
    </w:p>
    <w:p>
      <w:pPr>
        <w:pStyle w:val="ListBullet"/>
        <w:spacing w:after="40"/>
      </w:pPr>
      <w:r>
        <w:t>The existing accounting package stays in place</w:t>
      </w:r>
    </w:p>
    <w:p>
      <w:pPr>
        <w:pStyle w:val="ListBullet"/>
        <w:spacing w:after="40"/>
      </w:pPr>
      <w:r>
        <w:t>Office broadband and engineers' 4G are adequate for a cloud CRM</w:t>
      </w:r>
    </w:p>
    <w:p>
      <w:pPr>
        <w:pStyle w:val="ListBullet"/>
        <w:spacing w:after="40"/>
      </w:pPr>
      <w:r>
        <w:t>Constraint: go-live must avoid the October to December heating peak.</w:t>
      </w:r>
    </w:p>
    <w:p>
      <w:pPr>
        <w:pStyle w:val="ListBullet"/>
        <w:spacing w:after="40"/>
      </w:pPr>
      <w:r>
        <w:t>Dependency: accounting package API access (D01) and tablet delivery (D02).</w:t>
      </w:r>
    </w:p>
    <w:p>
      <w:pPr>
        <w:pStyle w:val="Heading1"/>
      </w:pPr>
      <w:r>
        <w:t>9. Approval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9D1DE"/>
          <w:left w:val="single" w:sz="4" w:color="C9D1DE"/>
          <w:bottom w:val="single" w:sz="4" w:color="C9D1DE"/>
          <w:right w:val="single" w:sz="4" w:color="C9D1DE"/>
          <w:insideH w:val="single" w:sz="4" w:color="C9D1DE"/>
          <w:insideV w:val="single" w:sz="4" w:color="C9D1DE"/>
        </w:tblBorders>
        <w:tblLayout w:type="fixed"/>
      </w:tblPr>
      <w:tblGrid>
        <w:gridCol w:w="1984"/>
        <w:gridCol w:w="2835"/>
        <w:gridCol w:w="2268"/>
        <w:gridCol w:w="2551"/>
      </w:tblGrid>
      <w:tr>
        <w:trPr>
          <w:tblHeader w:val="true"/>
        </w:trPr>
        <w:tc>
          <w:tcPr>
            <w:tcW w:type="dxa" w:w="1984"/>
            <w:shd w:val="clear" w:color="auto" w:fill="0F1D3A"/>
          </w:tcPr>
          <w:p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2835"/>
            <w:shd w:val="clear" w:color="auto" w:fill="0F1D3A"/>
          </w:tcPr>
          <w:p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2268"/>
            <w:shd w:val="clear" w:color="auto" w:fill="0F1D3A"/>
          </w:tcPr>
          <w:p>
            <w:r>
              <w:rPr>
                <w:b/>
                <w:color w:val="FFFFFF"/>
                <w:sz w:val="18"/>
              </w:rPr>
              <w:t>Decision</w:t>
            </w:r>
          </w:p>
        </w:tc>
        <w:tc>
          <w:tcPr>
            <w:tcW w:type="dxa" w:w="2551"/>
            <w:shd w:val="clear" w:color="auto" w:fill="0F1D3A"/>
          </w:tcPr>
          <w:p>
            <w:r>
              <w:rPr>
                <w:b/>
                <w:color w:val="FFFFFF"/>
                <w:sz w:val="18"/>
              </w:rPr>
              <w:t>Date</w:t>
            </w:r>
          </w:p>
        </w:tc>
      </w:tr>
      <w:tr>
        <w:trPr>
          <w:cantSplit w:val="true"/>
        </w:trPr>
        <w:tc>
          <w:tcPr>
            <w:tcW w:type="dxa" w:w="1984"/>
          </w:tcPr>
          <w:p>
            <w:r>
              <w:rPr>
                <w:sz w:val="18"/>
              </w:rPr>
              <w:t>Sponsor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Helen Marsh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11 Mar 2026</w:t>
            </w:r>
          </w:p>
        </w:tc>
      </w:tr>
      <w:tr>
        <w:trPr>
          <w:cantSplit w:val="true"/>
        </w:trPr>
        <w:tc>
          <w:tcPr>
            <w:tcW w:type="dxa" w:w="1984"/>
          </w:tcPr>
          <w:p>
            <w:r>
              <w:rPr>
                <w:sz w:val="18"/>
              </w:rPr>
              <w:t>Senior User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Dave Pearson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Endorsed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11 Mar 2026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C677D"/>
        <w:sz w:val="15"/>
      </w:rPr>
      <w:t>Simulated project: fictional company, created for portfolio and learning purposes. Cobbleway Home Services Ltd and all people named (other than the author) are fictional; all figures are illustrative.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7C4A03"/>
        <w:sz w:val="16"/>
      </w:rPr>
      <w:t>SIMULATED PROJECT: fictional company  ·  Project Compass: CRM implementation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F1D3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B6E6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