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color="E0B060"/>
          <w:left w:val="single" w:sz="4" w:color="E0B060"/>
          <w:bottom w:val="single" w:sz="4" w:color="E0B060"/>
          <w:right w:val="single" w:sz="4" w:color="E0B060"/>
          <w:insideH w:val="single" w:sz="4" w:color="E0B060"/>
          <w:insideV w:val="single" w:sz="4" w:color="E0B060"/>
        </w:tblBorders>
        <w:tblLayout w:type="fixed"/>
      </w:tblPr>
      <w:tblGrid>
        <w:gridCol w:w="9639"/>
      </w:tblGrid>
      <w:tr>
        <w:tc>
          <w:tcPr>
            <w:tcW w:type="dxa" w:w="9638"/>
            <w:shd w:val="clear" w:color="auto" w:fill="FDF0D8"/>
          </w:tcPr>
          <w:p>
            <w:r>
              <w:rPr>
                <w:b/>
                <w:color w:val="7C4A03"/>
                <w:sz w:val="19"/>
              </w:rPr>
              <w:t>⚠ SIMULATED PROJECT: FICTIONAL COMPANY, CREATED FOR PORTFOLIO AND LEARNING PURPOSES</w:t>
            </w:r>
          </w:p>
          <w:p>
            <w:r>
              <w:rPr>
                <w:color w:val="7C4A03"/>
                <w:sz w:val="17"/>
              </w:rPr>
              <w:t>Cobbleway Home Services Ltd is not a real business. Names, dates, budgets and results are invented to practise project-management methods from my MSc studies. Nothing here describes a real client or real outcomes.</w:t>
            </w:r>
          </w:p>
        </w:tc>
      </w:tr>
    </w:tbl>
    <w:p/>
    <w:p>
      <w:pPr>
        <w:spacing w:after="40"/>
      </w:pPr>
      <w:r>
        <w:rPr>
          <w:b/>
          <w:color w:val="0F1D3A"/>
          <w:sz w:val="40"/>
        </w:rPr>
        <w:t>Closure report and lessons learned</w:t>
      </w:r>
    </w:p>
    <w:p>
      <w:r>
        <w:rPr>
          <w:color w:val="0B6E69"/>
          <w:sz w:val="22"/>
        </w:rPr>
        <w:t>Project Compass: CRM implementation · Cobbleway Home Services Ltd (fictional)</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2551"/>
        <w:gridCol w:w="7087"/>
      </w:tblGrid>
      <w:tr>
        <w:tc>
          <w:tcPr>
            <w:tcW w:type="dxa" w:w="2551"/>
            <w:shd w:val="clear" w:color="auto" w:fill="F5F7FB"/>
          </w:tcPr>
          <w:p>
            <w:r>
              <w:rPr>
                <w:b/>
                <w:sz w:val="18"/>
              </w:rPr>
              <w:t>Document</w:t>
            </w:r>
          </w:p>
        </w:tc>
        <w:tc>
          <w:tcPr>
            <w:tcW w:type="dxa" w:w="7087"/>
          </w:tcPr>
          <w:p>
            <w:r>
              <w:rPr>
                <w:sz w:val="18"/>
              </w:rPr>
              <w:t>End-project report and lessons learned, v1.0</w:t>
            </w:r>
          </w:p>
        </w:tc>
      </w:tr>
      <w:tr>
        <w:tc>
          <w:tcPr>
            <w:tcW w:type="dxa" w:w="2551"/>
            <w:shd w:val="clear" w:color="auto" w:fill="F5F7FB"/>
          </w:tcPr>
          <w:p>
            <w:r>
              <w:rPr>
                <w:b/>
                <w:sz w:val="18"/>
              </w:rPr>
              <w:t>Date</w:t>
            </w:r>
          </w:p>
        </w:tc>
        <w:tc>
          <w:tcPr>
            <w:tcW w:type="dxa" w:w="7087"/>
          </w:tcPr>
          <w:p>
            <w:r>
              <w:rPr>
                <w:sz w:val="18"/>
              </w:rPr>
              <w:t>16 Jun 2026 (M7 Project closed)</w:t>
            </w:r>
          </w:p>
        </w:tc>
      </w:tr>
      <w:tr>
        <w:tc>
          <w:tcPr>
            <w:tcW w:type="dxa" w:w="2551"/>
            <w:shd w:val="clear" w:color="auto" w:fill="F5F7FB"/>
          </w:tcPr>
          <w:p>
            <w:r>
              <w:rPr>
                <w:b/>
                <w:sz w:val="18"/>
              </w:rPr>
              <w:t>Sponsor</w:t>
            </w:r>
          </w:p>
        </w:tc>
        <w:tc>
          <w:tcPr>
            <w:tcW w:type="dxa" w:w="7087"/>
          </w:tcPr>
          <w:p>
            <w:r>
              <w:rPr>
                <w:sz w:val="18"/>
              </w:rPr>
              <w:t>Helen Marsh (fictional)</w:t>
            </w:r>
          </w:p>
        </w:tc>
      </w:tr>
      <w:tr>
        <w:tc>
          <w:tcPr>
            <w:tcW w:type="dxa" w:w="2551"/>
            <w:shd w:val="clear" w:color="auto" w:fill="F5F7FB"/>
          </w:tcPr>
          <w:p>
            <w:r>
              <w:rPr>
                <w:b/>
                <w:sz w:val="18"/>
              </w:rPr>
              <w:t>Project manager</w:t>
            </w:r>
          </w:p>
        </w:tc>
        <w:tc>
          <w:tcPr>
            <w:tcW w:type="dxa" w:w="7087"/>
          </w:tcPr>
          <w:p>
            <w:r>
              <w:rPr>
                <w:sz w:val="18"/>
              </w:rPr>
              <w:t>Chidera Ikenna-Obi (simulated role, MSc practice project)</w:t>
            </w:r>
          </w:p>
        </w:tc>
      </w:tr>
      <w:tr>
        <w:tc>
          <w:tcPr>
            <w:tcW w:type="dxa" w:w="2551"/>
            <w:shd w:val="clear" w:color="auto" w:fill="F5F7FB"/>
          </w:tcPr>
          <w:p>
            <w:r>
              <w:rPr>
                <w:b/>
                <w:sz w:val="18"/>
              </w:rPr>
              <w:t>Status</w:t>
            </w:r>
          </w:p>
        </w:tc>
        <w:tc>
          <w:tcPr>
            <w:tcW w:type="dxa" w:w="7087"/>
          </w:tcPr>
          <w:p>
            <w:r>
              <w:rPr>
                <w:sz w:val="18"/>
              </w:rPr>
              <w:t>Closed. Handed over to business as usual (owner: Dave Pearson, Operations Manager)</w:t>
            </w:r>
          </w:p>
        </w:tc>
      </w:tr>
    </w:tbl>
    <w:p/>
    <w:p>
      <w:pPr>
        <w:pStyle w:val="Heading1"/>
      </w:pPr>
      <w:r>
        <w:t>1. Summary</w:t>
      </w:r>
    </w:p>
    <w:p>
      <w:r>
        <w:rPr>
          <w:i w:val="0"/>
        </w:rPr>
        <w:t>The CRM went live on 27 May 2026, 4 working days after the 20 May 2026 baseline and inside the one-week time tolerance. Final cost was £34,430 against a £36,500 approved budget (£33,000 base plus £3,500 contingency): £1,430 of contingency was used and £2,070 was returned. All 8 Must requirements were delivered; 4 of 5 Should requirements were delivered in full and 1 in part. The main cause of delay was poor legacy data quality (issue I01).</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1701"/>
        <w:gridCol w:w="1417"/>
        <w:gridCol w:w="6520"/>
      </w:tblGrid>
      <w:tr>
        <w:trPr>
          <w:tblHeader w:val="true"/>
        </w:trPr>
        <w:tc>
          <w:tcPr>
            <w:tcW w:type="dxa" w:w="1701"/>
            <w:shd w:val="clear" w:color="auto" w:fill="0F1D3A"/>
          </w:tcPr>
          <w:p>
            <w:r>
              <w:rPr>
                <w:b/>
                <w:color w:val="FFFFFF"/>
                <w:sz w:val="18"/>
              </w:rPr>
              <w:t>Dimension</w:t>
            </w:r>
          </w:p>
        </w:tc>
        <w:tc>
          <w:tcPr>
            <w:tcW w:type="dxa" w:w="1417"/>
            <w:shd w:val="clear" w:color="auto" w:fill="0F1D3A"/>
          </w:tcPr>
          <w:p>
            <w:r>
              <w:rPr>
                <w:b/>
                <w:color w:val="FFFFFF"/>
                <w:sz w:val="18"/>
              </w:rPr>
              <w:t>Final RAG</w:t>
            </w:r>
          </w:p>
        </w:tc>
        <w:tc>
          <w:tcPr>
            <w:tcW w:type="dxa" w:w="6520"/>
            <w:shd w:val="clear" w:color="auto" w:fill="0F1D3A"/>
          </w:tcPr>
          <w:p>
            <w:r>
              <w:rPr>
                <w:b/>
                <w:color w:val="FFFFFF"/>
                <w:sz w:val="18"/>
              </w:rPr>
              <w:t>Comment</w:t>
            </w:r>
          </w:p>
        </w:tc>
      </w:tr>
      <w:tr>
        <w:trPr>
          <w:cantSplit w:val="true"/>
        </w:trPr>
        <w:tc>
          <w:tcPr>
            <w:tcW w:type="dxa" w:w="1701"/>
          </w:tcPr>
          <w:p>
            <w:r>
              <w:rPr>
                <w:sz w:val="18"/>
              </w:rPr>
              <w:t>Schedule</w:t>
            </w:r>
          </w:p>
        </w:tc>
        <w:tc>
          <w:tcPr>
            <w:tcW w:type="dxa" w:w="1417"/>
            <w:shd w:val="clear" w:color="auto" w:fill="FFEB9C"/>
          </w:tcPr>
          <w:p>
            <w:r>
              <w:rPr>
                <w:sz w:val="18"/>
              </w:rPr>
              <w:t>Amber</w:t>
            </w:r>
          </w:p>
        </w:tc>
        <w:tc>
          <w:tcPr>
            <w:tcW w:type="dxa" w:w="6520"/>
          </w:tcPr>
          <w:p>
            <w:r>
              <w:rPr>
                <w:sz w:val="18"/>
              </w:rPr>
              <w:t>Go-live +4 working days; within tolerance</w:t>
            </w:r>
          </w:p>
        </w:tc>
      </w:tr>
      <w:tr>
        <w:trPr>
          <w:cantSplit w:val="true"/>
        </w:trPr>
        <w:tc>
          <w:tcPr>
            <w:tcW w:type="dxa" w:w="1701"/>
          </w:tcPr>
          <w:p>
            <w:r>
              <w:rPr>
                <w:sz w:val="18"/>
              </w:rPr>
              <w:t>Cost</w:t>
            </w:r>
          </w:p>
        </w:tc>
        <w:tc>
          <w:tcPr>
            <w:tcW w:type="dxa" w:w="1417"/>
            <w:shd w:val="clear" w:color="auto" w:fill="FFEB9C"/>
          </w:tcPr>
          <w:p>
            <w:r>
              <w:rPr>
                <w:sz w:val="18"/>
              </w:rPr>
              <w:t>Amber</w:t>
            </w:r>
          </w:p>
        </w:tc>
        <w:tc>
          <w:tcPr>
            <w:tcW w:type="dxa" w:w="6520"/>
          </w:tcPr>
          <w:p>
            <w:r>
              <w:rPr>
                <w:sz w:val="18"/>
              </w:rPr>
              <w:t>£1,430 over base budget; within contingency</w:t>
            </w:r>
          </w:p>
        </w:tc>
      </w:tr>
      <w:tr>
        <w:trPr>
          <w:cantSplit w:val="true"/>
        </w:trPr>
        <w:tc>
          <w:tcPr>
            <w:tcW w:type="dxa" w:w="1701"/>
          </w:tcPr>
          <w:p>
            <w:r>
              <w:rPr>
                <w:sz w:val="18"/>
              </w:rPr>
              <w:t>Scope</w:t>
            </w:r>
          </w:p>
        </w:tc>
        <w:tc>
          <w:tcPr>
            <w:tcW w:type="dxa" w:w="1417"/>
            <w:shd w:val="clear" w:color="auto" w:fill="C6EFCE"/>
          </w:tcPr>
          <w:p>
            <w:r>
              <w:rPr>
                <w:sz w:val="18"/>
              </w:rPr>
              <w:t>Green</w:t>
            </w:r>
          </w:p>
        </w:tc>
        <w:tc>
          <w:tcPr>
            <w:tcW w:type="dxa" w:w="6520"/>
          </w:tcPr>
          <w:p>
            <w:r>
              <w:rPr>
                <w:sz w:val="18"/>
              </w:rPr>
              <w:t>All Musts delivered; two Could items deferred to backlog</w:t>
            </w:r>
          </w:p>
        </w:tc>
      </w:tr>
      <w:tr>
        <w:trPr>
          <w:cantSplit w:val="true"/>
        </w:trPr>
        <w:tc>
          <w:tcPr>
            <w:tcW w:type="dxa" w:w="1701"/>
          </w:tcPr>
          <w:p>
            <w:r>
              <w:rPr>
                <w:sz w:val="18"/>
              </w:rPr>
              <w:t>Quality</w:t>
            </w:r>
          </w:p>
        </w:tc>
        <w:tc>
          <w:tcPr>
            <w:tcW w:type="dxa" w:w="1417"/>
            <w:shd w:val="clear" w:color="auto" w:fill="C6EFCE"/>
          </w:tcPr>
          <w:p>
            <w:r>
              <w:rPr>
                <w:sz w:val="18"/>
              </w:rPr>
              <w:t>Green</w:t>
            </w:r>
          </w:p>
        </w:tc>
        <w:tc>
          <w:tcPr>
            <w:tcW w:type="dxa" w:w="6520"/>
          </w:tcPr>
          <w:p>
            <w:r>
              <w:rPr>
                <w:sz w:val="18"/>
              </w:rPr>
              <w:t>UAT passed; one defect (I04) fixed before go-live</w:t>
            </w:r>
          </w:p>
        </w:tc>
      </w:tr>
    </w:tbl>
    <w:p>
      <w:pPr>
        <w:spacing w:after="0"/>
      </w:pPr>
    </w:p>
    <w:p>
      <w:pPr>
        <w:pStyle w:val="Heading1"/>
      </w:pPr>
      <w:r>
        <w:t>2. Performance against objectives</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623"/>
        <w:gridCol w:w="3061"/>
        <w:gridCol w:w="4422"/>
        <w:gridCol w:w="1247"/>
      </w:tblGrid>
      <w:tr>
        <w:trPr>
          <w:tblHeader w:val="true"/>
        </w:trPr>
        <w:tc>
          <w:tcPr>
            <w:tcW w:type="dxa" w:w="624"/>
            <w:shd w:val="clear" w:color="auto" w:fill="0F1D3A"/>
          </w:tcPr>
          <w:p>
            <w:r>
              <w:rPr>
                <w:b/>
                <w:color w:val="FFFFFF"/>
                <w:sz w:val="18"/>
              </w:rPr>
              <w:t>#</w:t>
            </w:r>
          </w:p>
        </w:tc>
        <w:tc>
          <w:tcPr>
            <w:tcW w:type="dxa" w:w="3061"/>
            <w:shd w:val="clear" w:color="auto" w:fill="0F1D3A"/>
          </w:tcPr>
          <w:p>
            <w:r>
              <w:rPr>
                <w:b/>
                <w:color w:val="FFFFFF"/>
                <w:sz w:val="18"/>
              </w:rPr>
              <w:t>Objective</w:t>
            </w:r>
          </w:p>
        </w:tc>
        <w:tc>
          <w:tcPr>
            <w:tcW w:type="dxa" w:w="4422"/>
            <w:shd w:val="clear" w:color="auto" w:fill="0F1D3A"/>
          </w:tcPr>
          <w:p>
            <w:r>
              <w:rPr>
                <w:b/>
                <w:color w:val="FFFFFF"/>
                <w:sz w:val="18"/>
              </w:rPr>
              <w:t>Result (simulated)</w:t>
            </w:r>
          </w:p>
        </w:tc>
        <w:tc>
          <w:tcPr>
            <w:tcW w:type="dxa" w:w="1247"/>
            <w:shd w:val="clear" w:color="auto" w:fill="0F1D3A"/>
          </w:tcPr>
          <w:p>
            <w:r>
              <w:rPr>
                <w:b/>
                <w:color w:val="FFFFFF"/>
                <w:sz w:val="18"/>
              </w:rPr>
              <w:t>Met?</w:t>
            </w:r>
          </w:p>
        </w:tc>
      </w:tr>
      <w:tr>
        <w:trPr>
          <w:cantSplit w:val="true"/>
        </w:trPr>
        <w:tc>
          <w:tcPr>
            <w:tcW w:type="dxa" w:w="624"/>
          </w:tcPr>
          <w:p>
            <w:r>
              <w:rPr>
                <w:sz w:val="18"/>
              </w:rPr>
              <w:t>O1</w:t>
            </w:r>
          </w:p>
        </w:tc>
        <w:tc>
          <w:tcPr>
            <w:tcW w:type="dxa" w:w="3061"/>
          </w:tcPr>
          <w:p>
            <w:r>
              <w:rPr>
                <w:sz w:val="18"/>
              </w:rPr>
              <w:t>Go live by 20 May 2026</w:t>
            </w:r>
          </w:p>
        </w:tc>
        <w:tc>
          <w:tcPr>
            <w:tcW w:type="dxa" w:w="4422"/>
          </w:tcPr>
          <w:p>
            <w:r>
              <w:rPr>
                <w:sz w:val="18"/>
              </w:rPr>
              <w:t>Live 27 May 2026 (+4 wd, within tolerance)</w:t>
            </w:r>
          </w:p>
        </w:tc>
        <w:tc>
          <w:tcPr>
            <w:tcW w:type="dxa" w:w="1247"/>
          </w:tcPr>
          <w:p>
            <w:r>
              <w:rPr>
                <w:sz w:val="18"/>
              </w:rPr>
              <w:t>Partly</w:t>
            </w:r>
          </w:p>
        </w:tc>
      </w:tr>
      <w:tr>
        <w:trPr>
          <w:cantSplit w:val="true"/>
        </w:trPr>
        <w:tc>
          <w:tcPr>
            <w:tcW w:type="dxa" w:w="624"/>
          </w:tcPr>
          <w:p>
            <w:r>
              <w:rPr>
                <w:sz w:val="18"/>
              </w:rPr>
              <w:t>O2</w:t>
            </w:r>
          </w:p>
        </w:tc>
        <w:tc>
          <w:tcPr>
            <w:tcW w:type="dxa" w:w="3061"/>
          </w:tcPr>
          <w:p>
            <w:r>
              <w:rPr>
                <w:sz w:val="18"/>
              </w:rPr>
              <w:t>Within £36,500</w:t>
            </w:r>
          </w:p>
        </w:tc>
        <w:tc>
          <w:tcPr>
            <w:tcW w:type="dxa" w:w="4422"/>
          </w:tcPr>
          <w:p>
            <w:r>
              <w:rPr>
                <w:sz w:val="18"/>
              </w:rPr>
              <w:t>£34,430</w:t>
            </w:r>
          </w:p>
        </w:tc>
        <w:tc>
          <w:tcPr>
            <w:tcW w:type="dxa" w:w="1247"/>
          </w:tcPr>
          <w:p>
            <w:r>
              <w:rPr>
                <w:sz w:val="18"/>
              </w:rPr>
              <w:t>Yes</w:t>
            </w:r>
          </w:p>
        </w:tc>
      </w:tr>
      <w:tr>
        <w:trPr>
          <w:cantSplit w:val="true"/>
        </w:trPr>
        <w:tc>
          <w:tcPr>
            <w:tcW w:type="dxa" w:w="624"/>
          </w:tcPr>
          <w:p>
            <w:r>
              <w:rPr>
                <w:sz w:val="18"/>
              </w:rPr>
              <w:t>O3</w:t>
            </w:r>
          </w:p>
        </w:tc>
        <w:tc>
          <w:tcPr>
            <w:tcW w:type="dxa" w:w="3061"/>
          </w:tcPr>
          <w:p>
            <w:r>
              <w:rPr>
                <w:sz w:val="18"/>
              </w:rPr>
              <w:t>All Must requirements</w:t>
            </w:r>
          </w:p>
        </w:tc>
        <w:tc>
          <w:tcPr>
            <w:tcW w:type="dxa" w:w="4422"/>
          </w:tcPr>
          <w:p>
            <w:r>
              <w:rPr>
                <w:sz w:val="18"/>
              </w:rPr>
              <w:t>8 of 8 delivered</w:t>
            </w:r>
          </w:p>
        </w:tc>
        <w:tc>
          <w:tcPr>
            <w:tcW w:type="dxa" w:w="1247"/>
          </w:tcPr>
          <w:p>
            <w:r>
              <w:rPr>
                <w:sz w:val="18"/>
              </w:rPr>
              <w:t>Yes</w:t>
            </w:r>
          </w:p>
        </w:tc>
      </w:tr>
      <w:tr>
        <w:trPr>
          <w:cantSplit w:val="true"/>
        </w:trPr>
        <w:tc>
          <w:tcPr>
            <w:tcW w:type="dxa" w:w="624"/>
          </w:tcPr>
          <w:p>
            <w:r>
              <w:rPr>
                <w:sz w:val="18"/>
              </w:rPr>
              <w:t>O4</w:t>
            </w:r>
          </w:p>
        </w:tc>
        <w:tc>
          <w:tcPr>
            <w:tcW w:type="dxa" w:w="3061"/>
          </w:tcPr>
          <w:p>
            <w:r>
              <w:rPr>
                <w:sz w:val="18"/>
              </w:rPr>
              <w:t>100% of new enquiries in CRM within 2 weeks</w:t>
            </w:r>
          </w:p>
        </w:tc>
        <w:tc>
          <w:tcPr>
            <w:tcW w:type="dxa" w:w="4422"/>
          </w:tcPr>
          <w:p>
            <w:r>
              <w:rPr>
                <w:sz w:val="18"/>
              </w:rPr>
              <w:t>Met in hypercare week 2 (CRM report vs call log)</w:t>
            </w:r>
          </w:p>
        </w:tc>
        <w:tc>
          <w:tcPr>
            <w:tcW w:type="dxa" w:w="1247"/>
          </w:tcPr>
          <w:p>
            <w:r>
              <w:rPr>
                <w:sz w:val="18"/>
              </w:rPr>
              <w:t>Yes</w:t>
            </w:r>
          </w:p>
        </w:tc>
      </w:tr>
      <w:tr>
        <w:trPr>
          <w:cantSplit w:val="true"/>
        </w:trPr>
        <w:tc>
          <w:tcPr>
            <w:tcW w:type="dxa" w:w="624"/>
          </w:tcPr>
          <w:p>
            <w:r>
              <w:rPr>
                <w:sz w:val="18"/>
              </w:rPr>
              <w:t>O5</w:t>
            </w:r>
          </w:p>
        </w:tc>
        <w:tc>
          <w:tcPr>
            <w:tcW w:type="dxa" w:w="3061"/>
          </w:tcPr>
          <w:p>
            <w:r>
              <w:rPr>
                <w:sz w:val="18"/>
              </w:rPr>
              <w:t>Quote turnaround 2 days within 6 months</w:t>
            </w:r>
          </w:p>
        </w:tc>
        <w:tc>
          <w:tcPr>
            <w:tcW w:type="dxa" w:w="4422"/>
          </w:tcPr>
          <w:p>
            <w:r>
              <w:rPr>
                <w:sz w:val="18"/>
              </w:rPr>
              <w:t>2.8 days average in first 3 weeks; review at 3 and 6 months</w:t>
            </w:r>
          </w:p>
        </w:tc>
        <w:tc>
          <w:tcPr>
            <w:tcW w:type="dxa" w:w="1247"/>
          </w:tcPr>
          <w:p>
            <w:r>
              <w:rPr>
                <w:sz w:val="18"/>
              </w:rPr>
              <w:t>Too early</w:t>
            </w:r>
          </w:p>
        </w:tc>
      </w:tr>
    </w:tbl>
    <w:p>
      <w:pPr>
        <w:spacing w:after="0"/>
      </w:pPr>
    </w:p>
    <w:p>
      <w:pPr>
        <w:pStyle w:val="Heading1"/>
      </w:pPr>
      <w:r>
        <w:t>3. Schedule performance</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4536"/>
        <w:gridCol w:w="1701"/>
        <w:gridCol w:w="1701"/>
        <w:gridCol w:w="1701"/>
      </w:tblGrid>
      <w:tr>
        <w:trPr>
          <w:tblHeader w:val="true"/>
        </w:trPr>
        <w:tc>
          <w:tcPr>
            <w:tcW w:type="dxa" w:w="4535"/>
            <w:shd w:val="clear" w:color="auto" w:fill="0F1D3A"/>
          </w:tcPr>
          <w:p>
            <w:r>
              <w:rPr>
                <w:b/>
                <w:color w:val="FFFFFF"/>
                <w:sz w:val="18"/>
              </w:rPr>
              <w:t>Milestone</w:t>
            </w:r>
          </w:p>
        </w:tc>
        <w:tc>
          <w:tcPr>
            <w:tcW w:type="dxa" w:w="1701"/>
            <w:shd w:val="clear" w:color="auto" w:fill="0F1D3A"/>
          </w:tcPr>
          <w:p>
            <w:r>
              <w:rPr>
                <w:b/>
                <w:color w:val="FFFFFF"/>
                <w:sz w:val="18"/>
              </w:rPr>
              <w:t>Baseline</w:t>
            </w:r>
          </w:p>
        </w:tc>
        <w:tc>
          <w:tcPr>
            <w:tcW w:type="dxa" w:w="1701"/>
            <w:shd w:val="clear" w:color="auto" w:fill="0F1D3A"/>
          </w:tcPr>
          <w:p>
            <w:r>
              <w:rPr>
                <w:b/>
                <w:color w:val="FFFFFF"/>
                <w:sz w:val="18"/>
              </w:rPr>
              <w:t>Actual</w:t>
            </w:r>
          </w:p>
        </w:tc>
        <w:tc>
          <w:tcPr>
            <w:tcW w:type="dxa" w:w="1701"/>
            <w:shd w:val="clear" w:color="auto" w:fill="0F1D3A"/>
          </w:tcPr>
          <w:p>
            <w:r>
              <w:rPr>
                <w:b/>
                <w:color w:val="FFFFFF"/>
                <w:sz w:val="18"/>
              </w:rPr>
              <w:t>Variance (wd)</w:t>
            </w:r>
          </w:p>
        </w:tc>
      </w:tr>
      <w:tr>
        <w:trPr>
          <w:cantSplit w:val="true"/>
        </w:trPr>
        <w:tc>
          <w:tcPr>
            <w:tcW w:type="dxa" w:w="4535"/>
          </w:tcPr>
          <w:p>
            <w:r>
              <w:rPr>
                <w:sz w:val="18"/>
              </w:rPr>
              <w:t>M1 Charter and business case approved</w:t>
            </w:r>
          </w:p>
        </w:tc>
        <w:tc>
          <w:tcPr>
            <w:tcW w:type="dxa" w:w="1701"/>
          </w:tcPr>
          <w:p>
            <w:r>
              <w:rPr>
                <w:sz w:val="18"/>
              </w:rPr>
              <w:t>11 Mar 2026</w:t>
            </w:r>
          </w:p>
        </w:tc>
        <w:tc>
          <w:tcPr>
            <w:tcW w:type="dxa" w:w="1701"/>
          </w:tcPr>
          <w:p>
            <w:r>
              <w:rPr>
                <w:sz w:val="18"/>
              </w:rPr>
              <w:t>11 Mar 2026</w:t>
            </w:r>
          </w:p>
        </w:tc>
        <w:tc>
          <w:tcPr>
            <w:tcW w:type="dxa" w:w="1701"/>
          </w:tcPr>
          <w:p>
            <w:r>
              <w:rPr>
                <w:sz w:val="18"/>
              </w:rPr>
              <w:t>+0</w:t>
            </w:r>
          </w:p>
        </w:tc>
      </w:tr>
      <w:tr>
        <w:trPr>
          <w:cantSplit w:val="true"/>
        </w:trPr>
        <w:tc>
          <w:tcPr>
            <w:tcW w:type="dxa" w:w="4535"/>
          </w:tcPr>
          <w:p>
            <w:r>
              <w:rPr>
                <w:sz w:val="18"/>
              </w:rPr>
              <w:t>M2 Requirements signed off</w:t>
            </w:r>
          </w:p>
        </w:tc>
        <w:tc>
          <w:tcPr>
            <w:tcW w:type="dxa" w:w="1701"/>
          </w:tcPr>
          <w:p>
            <w:r>
              <w:rPr>
                <w:sz w:val="18"/>
              </w:rPr>
              <w:t>24 Mar 2026</w:t>
            </w:r>
          </w:p>
        </w:tc>
        <w:tc>
          <w:tcPr>
            <w:tcW w:type="dxa" w:w="1701"/>
          </w:tcPr>
          <w:p>
            <w:r>
              <w:rPr>
                <w:sz w:val="18"/>
              </w:rPr>
              <w:t>24 Mar 2026</w:t>
            </w:r>
          </w:p>
        </w:tc>
        <w:tc>
          <w:tcPr>
            <w:tcW w:type="dxa" w:w="1701"/>
          </w:tcPr>
          <w:p>
            <w:r>
              <w:rPr>
                <w:sz w:val="18"/>
              </w:rPr>
              <w:t>+0</w:t>
            </w:r>
          </w:p>
        </w:tc>
      </w:tr>
      <w:tr>
        <w:trPr>
          <w:cantSplit w:val="true"/>
        </w:trPr>
        <w:tc>
          <w:tcPr>
            <w:tcW w:type="dxa" w:w="4535"/>
          </w:tcPr>
          <w:p>
            <w:r>
              <w:rPr>
                <w:sz w:val="18"/>
              </w:rPr>
              <w:t>M3 Supplier selected and contract signed</w:t>
            </w:r>
          </w:p>
        </w:tc>
        <w:tc>
          <w:tcPr>
            <w:tcW w:type="dxa" w:w="1701"/>
          </w:tcPr>
          <w:p>
            <w:r>
              <w:rPr>
                <w:sz w:val="18"/>
              </w:rPr>
              <w:t>07 Apr 2026</w:t>
            </w:r>
          </w:p>
        </w:tc>
        <w:tc>
          <w:tcPr>
            <w:tcW w:type="dxa" w:w="1701"/>
          </w:tcPr>
          <w:p>
            <w:r>
              <w:rPr>
                <w:sz w:val="18"/>
              </w:rPr>
              <w:t>07 Apr 2026</w:t>
            </w:r>
          </w:p>
        </w:tc>
        <w:tc>
          <w:tcPr>
            <w:tcW w:type="dxa" w:w="1701"/>
          </w:tcPr>
          <w:p>
            <w:r>
              <w:rPr>
                <w:sz w:val="18"/>
              </w:rPr>
              <w:t>+0</w:t>
            </w:r>
          </w:p>
        </w:tc>
      </w:tr>
      <w:tr>
        <w:trPr>
          <w:cantSplit w:val="true"/>
        </w:trPr>
        <w:tc>
          <w:tcPr>
            <w:tcW w:type="dxa" w:w="4535"/>
          </w:tcPr>
          <w:p>
            <w:r>
              <w:rPr>
                <w:sz w:val="18"/>
              </w:rPr>
              <w:t>M4 Configuration complete</w:t>
            </w:r>
          </w:p>
        </w:tc>
        <w:tc>
          <w:tcPr>
            <w:tcW w:type="dxa" w:w="1701"/>
          </w:tcPr>
          <w:p>
            <w:r>
              <w:rPr>
                <w:sz w:val="18"/>
              </w:rPr>
              <w:t>12 May 2026</w:t>
            </w:r>
          </w:p>
        </w:tc>
        <w:tc>
          <w:tcPr>
            <w:tcW w:type="dxa" w:w="1701"/>
          </w:tcPr>
          <w:p>
            <w:r>
              <w:rPr>
                <w:sz w:val="18"/>
              </w:rPr>
              <w:t>12 May 2026</w:t>
            </w:r>
          </w:p>
        </w:tc>
        <w:tc>
          <w:tcPr>
            <w:tcW w:type="dxa" w:w="1701"/>
          </w:tcPr>
          <w:p>
            <w:r>
              <w:rPr>
                <w:sz w:val="18"/>
              </w:rPr>
              <w:t>+0</w:t>
            </w:r>
          </w:p>
        </w:tc>
      </w:tr>
      <w:tr>
        <w:trPr>
          <w:cantSplit w:val="true"/>
        </w:trPr>
        <w:tc>
          <w:tcPr>
            <w:tcW w:type="dxa" w:w="4535"/>
          </w:tcPr>
          <w:p>
            <w:r>
              <w:rPr>
                <w:sz w:val="18"/>
              </w:rPr>
              <w:t>M5 Go/no-go decision</w:t>
            </w:r>
          </w:p>
        </w:tc>
        <w:tc>
          <w:tcPr>
            <w:tcW w:type="dxa" w:w="1701"/>
          </w:tcPr>
          <w:p>
            <w:r>
              <w:rPr>
                <w:sz w:val="18"/>
              </w:rPr>
              <w:t>18 May 2026</w:t>
            </w:r>
          </w:p>
        </w:tc>
        <w:tc>
          <w:tcPr>
            <w:tcW w:type="dxa" w:w="1701"/>
          </w:tcPr>
          <w:p>
            <w:r>
              <w:rPr>
                <w:sz w:val="18"/>
              </w:rPr>
              <w:t>22 May 2026</w:t>
            </w:r>
          </w:p>
        </w:tc>
        <w:tc>
          <w:tcPr>
            <w:tcW w:type="dxa" w:w="1701"/>
          </w:tcPr>
          <w:p>
            <w:r>
              <w:rPr>
                <w:sz w:val="18"/>
              </w:rPr>
              <w:t>+4</w:t>
            </w:r>
          </w:p>
        </w:tc>
      </w:tr>
      <w:tr>
        <w:trPr>
          <w:cantSplit w:val="true"/>
        </w:trPr>
        <w:tc>
          <w:tcPr>
            <w:tcW w:type="dxa" w:w="4535"/>
          </w:tcPr>
          <w:p>
            <w:r>
              <w:rPr>
                <w:sz w:val="18"/>
              </w:rPr>
              <w:t>M6 Go-live</w:t>
            </w:r>
          </w:p>
        </w:tc>
        <w:tc>
          <w:tcPr>
            <w:tcW w:type="dxa" w:w="1701"/>
          </w:tcPr>
          <w:p>
            <w:r>
              <w:rPr>
                <w:sz w:val="18"/>
              </w:rPr>
              <w:t>20 May 2026</w:t>
            </w:r>
          </w:p>
        </w:tc>
        <w:tc>
          <w:tcPr>
            <w:tcW w:type="dxa" w:w="1701"/>
          </w:tcPr>
          <w:p>
            <w:r>
              <w:rPr>
                <w:sz w:val="18"/>
              </w:rPr>
              <w:t>27 May 2026</w:t>
            </w:r>
          </w:p>
        </w:tc>
        <w:tc>
          <w:tcPr>
            <w:tcW w:type="dxa" w:w="1701"/>
          </w:tcPr>
          <w:p>
            <w:r>
              <w:rPr>
                <w:sz w:val="18"/>
              </w:rPr>
              <w:t>+4</w:t>
            </w:r>
          </w:p>
        </w:tc>
      </w:tr>
      <w:tr>
        <w:trPr>
          <w:cantSplit w:val="true"/>
        </w:trPr>
        <w:tc>
          <w:tcPr>
            <w:tcW w:type="dxa" w:w="4535"/>
          </w:tcPr>
          <w:p>
            <w:r>
              <w:rPr>
                <w:sz w:val="18"/>
              </w:rPr>
              <w:t>M7 Project closed</w:t>
            </w:r>
          </w:p>
        </w:tc>
        <w:tc>
          <w:tcPr>
            <w:tcW w:type="dxa" w:w="1701"/>
          </w:tcPr>
          <w:p>
            <w:r>
              <w:rPr>
                <w:sz w:val="18"/>
              </w:rPr>
              <w:t>10 Jun 2026</w:t>
            </w:r>
          </w:p>
        </w:tc>
        <w:tc>
          <w:tcPr>
            <w:tcW w:type="dxa" w:w="1701"/>
          </w:tcPr>
          <w:p>
            <w:r>
              <w:rPr>
                <w:sz w:val="18"/>
              </w:rPr>
              <w:t>16 Jun 2026</w:t>
            </w:r>
          </w:p>
        </w:tc>
        <w:tc>
          <w:tcPr>
            <w:tcW w:type="dxa" w:w="1701"/>
          </w:tcPr>
          <w:p>
            <w:r>
              <w:rPr>
                <w:sz w:val="18"/>
              </w:rPr>
              <w:t>+4</w:t>
            </w:r>
          </w:p>
        </w:tc>
      </w:tr>
    </w:tbl>
    <w:p>
      <w:pPr>
        <w:spacing w:after="0"/>
      </w:pPr>
    </w:p>
    <w:p>
      <w:pPr>
        <w:pStyle w:val="Heading1"/>
      </w:pPr>
      <w:r>
        <w:t>4. Cost performance</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4819"/>
        <w:gridCol w:w="1587"/>
        <w:gridCol w:w="1587"/>
        <w:gridCol w:w="1644"/>
      </w:tblGrid>
      <w:tr>
        <w:trPr>
          <w:tblHeader w:val="true"/>
        </w:trPr>
        <w:tc>
          <w:tcPr>
            <w:tcW w:type="dxa" w:w="4819"/>
            <w:shd w:val="clear" w:color="auto" w:fill="0F1D3A"/>
          </w:tcPr>
          <w:p>
            <w:r>
              <w:rPr>
                <w:b/>
                <w:color w:val="FFFFFF"/>
                <w:sz w:val="18"/>
              </w:rPr>
              <w:t>Category</w:t>
            </w:r>
          </w:p>
        </w:tc>
        <w:tc>
          <w:tcPr>
            <w:tcW w:type="dxa" w:w="1587"/>
            <w:shd w:val="clear" w:color="auto" w:fill="0F1D3A"/>
          </w:tcPr>
          <w:p>
            <w:r>
              <w:rPr>
                <w:b/>
                <w:color w:val="FFFFFF"/>
                <w:sz w:val="18"/>
              </w:rPr>
              <w:t>Budget</w:t>
            </w:r>
          </w:p>
        </w:tc>
        <w:tc>
          <w:tcPr>
            <w:tcW w:type="dxa" w:w="1587"/>
            <w:shd w:val="clear" w:color="auto" w:fill="0F1D3A"/>
          </w:tcPr>
          <w:p>
            <w:r>
              <w:rPr>
                <w:b/>
                <w:color w:val="FFFFFF"/>
                <w:sz w:val="18"/>
              </w:rPr>
              <w:t>Final actual</w:t>
            </w:r>
          </w:p>
        </w:tc>
        <w:tc>
          <w:tcPr>
            <w:tcW w:type="dxa" w:w="1644"/>
            <w:shd w:val="clear" w:color="auto" w:fill="0F1D3A"/>
          </w:tcPr>
          <w:p>
            <w:r>
              <w:rPr>
                <w:b/>
                <w:color w:val="FFFFFF"/>
                <w:sz w:val="18"/>
              </w:rPr>
              <w:t>Variance</w:t>
            </w:r>
          </w:p>
        </w:tc>
      </w:tr>
      <w:tr>
        <w:trPr>
          <w:cantSplit w:val="true"/>
        </w:trPr>
        <w:tc>
          <w:tcPr>
            <w:tcW w:type="dxa" w:w="4819"/>
          </w:tcPr>
          <w:p>
            <w:r>
              <w:rPr>
                <w:sz w:val="18"/>
              </w:rPr>
              <w:t>CRM licences (18 users, year 1)</w:t>
            </w:r>
          </w:p>
        </w:tc>
        <w:tc>
          <w:tcPr>
            <w:tcW w:type="dxa" w:w="1587"/>
          </w:tcPr>
          <w:p>
            <w:r>
              <w:rPr>
                <w:sz w:val="18"/>
              </w:rPr>
              <w:t>£6,800</w:t>
            </w:r>
          </w:p>
        </w:tc>
        <w:tc>
          <w:tcPr>
            <w:tcW w:type="dxa" w:w="1587"/>
          </w:tcPr>
          <w:p>
            <w:r>
              <w:rPr>
                <w:sz w:val="18"/>
              </w:rPr>
              <w:t>£6,800</w:t>
            </w:r>
          </w:p>
        </w:tc>
        <w:tc>
          <w:tcPr>
            <w:tcW w:type="dxa" w:w="1644"/>
          </w:tcPr>
          <w:p>
            <w:r>
              <w:rPr>
                <w:sz w:val="18"/>
              </w:rPr>
              <w:t>+£0</w:t>
            </w:r>
          </w:p>
        </w:tc>
      </w:tr>
      <w:tr>
        <w:trPr>
          <w:cantSplit w:val="true"/>
        </w:trPr>
        <w:tc>
          <w:tcPr>
            <w:tcW w:type="dxa" w:w="4819"/>
          </w:tcPr>
          <w:p>
            <w:r>
              <w:rPr>
                <w:sz w:val="18"/>
              </w:rPr>
              <w:t>Supplier configuration and integration</w:t>
            </w:r>
          </w:p>
        </w:tc>
        <w:tc>
          <w:tcPr>
            <w:tcW w:type="dxa" w:w="1587"/>
          </w:tcPr>
          <w:p>
            <w:r>
              <w:rPr>
                <w:sz w:val="18"/>
              </w:rPr>
              <w:t>£9,500</w:t>
            </w:r>
          </w:p>
        </w:tc>
        <w:tc>
          <w:tcPr>
            <w:tcW w:type="dxa" w:w="1587"/>
          </w:tcPr>
          <w:p>
            <w:r>
              <w:rPr>
                <w:sz w:val="18"/>
              </w:rPr>
              <w:t>£10,400</w:t>
            </w:r>
          </w:p>
        </w:tc>
        <w:tc>
          <w:tcPr>
            <w:tcW w:type="dxa" w:w="1644"/>
          </w:tcPr>
          <w:p>
            <w:r>
              <w:rPr>
                <w:sz w:val="18"/>
              </w:rPr>
              <w:t>+£900</w:t>
            </w:r>
          </w:p>
        </w:tc>
      </w:tr>
      <w:tr>
        <w:trPr>
          <w:cantSplit w:val="true"/>
        </w:trPr>
        <w:tc>
          <w:tcPr>
            <w:tcW w:type="dxa" w:w="4819"/>
          </w:tcPr>
          <w:p>
            <w:r>
              <w:rPr>
                <w:sz w:val="18"/>
              </w:rPr>
              <w:t>Data migration and cleansing</w:t>
            </w:r>
          </w:p>
        </w:tc>
        <w:tc>
          <w:tcPr>
            <w:tcW w:type="dxa" w:w="1587"/>
          </w:tcPr>
          <w:p>
            <w:r>
              <w:rPr>
                <w:sz w:val="18"/>
              </w:rPr>
              <w:t>£4,200</w:t>
            </w:r>
          </w:p>
        </w:tc>
        <w:tc>
          <w:tcPr>
            <w:tcW w:type="dxa" w:w="1587"/>
          </w:tcPr>
          <w:p>
            <w:r>
              <w:rPr>
                <w:sz w:val="18"/>
              </w:rPr>
              <w:t>£4,900</w:t>
            </w:r>
          </w:p>
        </w:tc>
        <w:tc>
          <w:tcPr>
            <w:tcW w:type="dxa" w:w="1644"/>
          </w:tcPr>
          <w:p>
            <w:r>
              <w:rPr>
                <w:sz w:val="18"/>
              </w:rPr>
              <w:t>+£700</w:t>
            </w:r>
          </w:p>
        </w:tc>
      </w:tr>
      <w:tr>
        <w:trPr>
          <w:cantSplit w:val="true"/>
        </w:trPr>
        <w:tc>
          <w:tcPr>
            <w:tcW w:type="dxa" w:w="4819"/>
          </w:tcPr>
          <w:p>
            <w:r>
              <w:rPr>
                <w:sz w:val="18"/>
              </w:rPr>
              <w:t>Training and materials</w:t>
            </w:r>
          </w:p>
        </w:tc>
        <w:tc>
          <w:tcPr>
            <w:tcW w:type="dxa" w:w="1587"/>
          </w:tcPr>
          <w:p>
            <w:r>
              <w:rPr>
                <w:sz w:val="18"/>
              </w:rPr>
              <w:t>£3,000</w:t>
            </w:r>
          </w:p>
        </w:tc>
        <w:tc>
          <w:tcPr>
            <w:tcW w:type="dxa" w:w="1587"/>
          </w:tcPr>
          <w:p>
            <w:r>
              <w:rPr>
                <w:sz w:val="18"/>
              </w:rPr>
              <w:t>£2,650</w:t>
            </w:r>
          </w:p>
        </w:tc>
        <w:tc>
          <w:tcPr>
            <w:tcW w:type="dxa" w:w="1644"/>
          </w:tcPr>
          <w:p>
            <w:r>
              <w:rPr>
                <w:sz w:val="18"/>
              </w:rPr>
              <w:t>−£350</w:t>
            </w:r>
          </w:p>
        </w:tc>
      </w:tr>
      <w:tr>
        <w:trPr>
          <w:cantSplit w:val="true"/>
        </w:trPr>
        <w:tc>
          <w:tcPr>
            <w:tcW w:type="dxa" w:w="4819"/>
          </w:tcPr>
          <w:p>
            <w:r>
              <w:rPr>
                <w:sz w:val="18"/>
              </w:rPr>
              <w:t>Internal staff time (backfill)</w:t>
            </w:r>
          </w:p>
        </w:tc>
        <w:tc>
          <w:tcPr>
            <w:tcW w:type="dxa" w:w="1587"/>
          </w:tcPr>
          <w:p>
            <w:r>
              <w:rPr>
                <w:sz w:val="18"/>
              </w:rPr>
              <w:t>£6,000</w:t>
            </w:r>
          </w:p>
        </w:tc>
        <w:tc>
          <w:tcPr>
            <w:tcW w:type="dxa" w:w="1587"/>
          </w:tcPr>
          <w:p>
            <w:r>
              <w:rPr>
                <w:sz w:val="18"/>
              </w:rPr>
              <w:t>£6,300</w:t>
            </w:r>
          </w:p>
        </w:tc>
        <w:tc>
          <w:tcPr>
            <w:tcW w:type="dxa" w:w="1644"/>
          </w:tcPr>
          <w:p>
            <w:r>
              <w:rPr>
                <w:sz w:val="18"/>
              </w:rPr>
              <w:t>+£300</w:t>
            </w:r>
          </w:p>
        </w:tc>
      </w:tr>
      <w:tr>
        <w:trPr>
          <w:cantSplit w:val="true"/>
        </w:trPr>
        <w:tc>
          <w:tcPr>
            <w:tcW w:type="dxa" w:w="4819"/>
          </w:tcPr>
          <w:p>
            <w:r>
              <w:rPr>
                <w:sz w:val="18"/>
              </w:rPr>
              <w:t>Hardware (6 rugged tablets and cases)</w:t>
            </w:r>
          </w:p>
        </w:tc>
        <w:tc>
          <w:tcPr>
            <w:tcW w:type="dxa" w:w="1587"/>
          </w:tcPr>
          <w:p>
            <w:r>
              <w:rPr>
                <w:sz w:val="18"/>
              </w:rPr>
              <w:t>£3,500</w:t>
            </w:r>
          </w:p>
        </w:tc>
        <w:tc>
          <w:tcPr>
            <w:tcW w:type="dxa" w:w="1587"/>
          </w:tcPr>
          <w:p>
            <w:r>
              <w:rPr>
                <w:sz w:val="18"/>
              </w:rPr>
              <w:t>£3,380</w:t>
            </w:r>
          </w:p>
        </w:tc>
        <w:tc>
          <w:tcPr>
            <w:tcW w:type="dxa" w:w="1644"/>
          </w:tcPr>
          <w:p>
            <w:r>
              <w:rPr>
                <w:sz w:val="18"/>
              </w:rPr>
              <w:t>−£120</w:t>
            </w:r>
          </w:p>
        </w:tc>
      </w:tr>
      <w:tr>
        <w:trPr>
          <w:cantSplit w:val="true"/>
        </w:trPr>
        <w:tc>
          <w:tcPr>
            <w:tcW w:type="dxa" w:w="4819"/>
            <w:shd w:val="clear" w:color="auto" w:fill="EEF1F6"/>
          </w:tcPr>
          <w:p>
            <w:r>
              <w:rPr>
                <w:b/>
                <w:sz w:val="18"/>
              </w:rPr>
              <w:t>Total (base budget)</w:t>
            </w:r>
          </w:p>
        </w:tc>
        <w:tc>
          <w:tcPr>
            <w:tcW w:type="dxa" w:w="1587"/>
            <w:shd w:val="clear" w:color="auto" w:fill="EEF1F6"/>
          </w:tcPr>
          <w:p>
            <w:r>
              <w:rPr>
                <w:b/>
                <w:sz w:val="18"/>
              </w:rPr>
              <w:t>£33,000</w:t>
            </w:r>
          </w:p>
        </w:tc>
        <w:tc>
          <w:tcPr>
            <w:tcW w:type="dxa" w:w="1587"/>
            <w:shd w:val="clear" w:color="auto" w:fill="EEF1F6"/>
          </w:tcPr>
          <w:p>
            <w:r>
              <w:rPr>
                <w:b/>
                <w:sz w:val="18"/>
              </w:rPr>
              <w:t>£34,430</w:t>
            </w:r>
          </w:p>
        </w:tc>
        <w:tc>
          <w:tcPr>
            <w:tcW w:type="dxa" w:w="1644"/>
            <w:shd w:val="clear" w:color="auto" w:fill="EEF1F6"/>
          </w:tcPr>
          <w:p>
            <w:r>
              <w:rPr>
                <w:b/>
                <w:sz w:val="18"/>
              </w:rPr>
              <w:t>+£1,430</w:t>
            </w:r>
          </w:p>
        </w:tc>
      </w:tr>
    </w:tbl>
    <w:p>
      <w:pPr>
        <w:spacing w:after="0"/>
      </w:pPr>
    </w:p>
    <w:p>
      <w:r>
        <w:rPr>
          <w:i w:val="0"/>
          <w:sz w:val="19"/>
        </w:rPr>
        <w:t>Overruns came from CR01 (paid accounting connector, £900), extra supplier de-duplication (£700) and extra staff backfill during cleansing (£300). Training came in £350 under budget because sessions were run in-house by the champions.</w:t>
      </w:r>
    </w:p>
    <w:p>
      <w:pPr>
        <w:pStyle w:val="Heading1"/>
      </w:pPr>
      <w:r>
        <w:t>5. Scope delivered</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963"/>
        <w:gridCol w:w="963"/>
        <w:gridCol w:w="4989"/>
        <w:gridCol w:w="2721"/>
      </w:tblGrid>
      <w:tr>
        <w:trPr>
          <w:tblHeader w:val="true"/>
        </w:trPr>
        <w:tc>
          <w:tcPr>
            <w:tcW w:type="dxa" w:w="964"/>
            <w:shd w:val="clear" w:color="auto" w:fill="0F1D3A"/>
          </w:tcPr>
          <w:p>
            <w:r>
              <w:rPr>
                <w:b/>
                <w:color w:val="FFFFFF"/>
                <w:sz w:val="17"/>
              </w:rPr>
              <w:t>ID</w:t>
            </w:r>
          </w:p>
        </w:tc>
        <w:tc>
          <w:tcPr>
            <w:tcW w:type="dxa" w:w="964"/>
            <w:shd w:val="clear" w:color="auto" w:fill="0F1D3A"/>
          </w:tcPr>
          <w:p>
            <w:r>
              <w:rPr>
                <w:b/>
                <w:color w:val="FFFFFF"/>
                <w:sz w:val="17"/>
              </w:rPr>
              <w:t>Priority</w:t>
            </w:r>
          </w:p>
        </w:tc>
        <w:tc>
          <w:tcPr>
            <w:tcW w:type="dxa" w:w="4989"/>
            <w:shd w:val="clear" w:color="auto" w:fill="0F1D3A"/>
          </w:tcPr>
          <w:p>
            <w:r>
              <w:rPr>
                <w:b/>
                <w:color w:val="FFFFFF"/>
                <w:sz w:val="17"/>
              </w:rPr>
              <w:t>Requirement</w:t>
            </w:r>
          </w:p>
        </w:tc>
        <w:tc>
          <w:tcPr>
            <w:tcW w:type="dxa" w:w="2721"/>
            <w:shd w:val="clear" w:color="auto" w:fill="0F1D3A"/>
          </w:tcPr>
          <w:p>
            <w:r>
              <w:rPr>
                <w:b/>
                <w:color w:val="FFFFFF"/>
                <w:sz w:val="17"/>
              </w:rPr>
              <w:t>Outcome</w:t>
            </w:r>
          </w:p>
        </w:tc>
      </w:tr>
      <w:tr>
        <w:trPr>
          <w:cantSplit w:val="true"/>
        </w:trPr>
        <w:tc>
          <w:tcPr>
            <w:tcW w:type="dxa" w:w="964"/>
          </w:tcPr>
          <w:p>
            <w:r>
              <w:rPr>
                <w:sz w:val="17"/>
              </w:rPr>
              <w:t>REQ-01</w:t>
            </w:r>
          </w:p>
        </w:tc>
        <w:tc>
          <w:tcPr>
            <w:tcW w:type="dxa" w:w="964"/>
          </w:tcPr>
          <w:p>
            <w:r>
              <w:rPr>
                <w:sz w:val="17"/>
              </w:rPr>
              <w:t>Must</w:t>
            </w:r>
          </w:p>
        </w:tc>
        <w:tc>
          <w:tcPr>
            <w:tcW w:type="dxa" w:w="4989"/>
          </w:tcPr>
          <w:p>
            <w:r>
              <w:rPr>
                <w:sz w:val="17"/>
              </w:rPr>
              <w:t>Single customer record holding contacts, properties, appliances and job history</w:t>
            </w:r>
          </w:p>
        </w:tc>
        <w:tc>
          <w:tcPr>
            <w:tcW w:type="dxa" w:w="2721"/>
          </w:tcPr>
          <w:p>
            <w:r>
              <w:rPr>
                <w:sz w:val="17"/>
              </w:rPr>
              <w:t>Delivered</w:t>
            </w:r>
          </w:p>
        </w:tc>
      </w:tr>
      <w:tr>
        <w:trPr>
          <w:cantSplit w:val="true"/>
        </w:trPr>
        <w:tc>
          <w:tcPr>
            <w:tcW w:type="dxa" w:w="964"/>
          </w:tcPr>
          <w:p>
            <w:r>
              <w:rPr>
                <w:sz w:val="17"/>
              </w:rPr>
              <w:t>REQ-02</w:t>
            </w:r>
          </w:p>
        </w:tc>
        <w:tc>
          <w:tcPr>
            <w:tcW w:type="dxa" w:w="964"/>
          </w:tcPr>
          <w:p>
            <w:r>
              <w:rPr>
                <w:sz w:val="17"/>
              </w:rPr>
              <w:t>Must</w:t>
            </w:r>
          </w:p>
        </w:tc>
        <w:tc>
          <w:tcPr>
            <w:tcW w:type="dxa" w:w="4989"/>
          </w:tcPr>
          <w:p>
            <w:r>
              <w:rPr>
                <w:sz w:val="17"/>
              </w:rPr>
              <w:t>Log enquiries from phone, email and the website form in one queue</w:t>
            </w:r>
          </w:p>
        </w:tc>
        <w:tc>
          <w:tcPr>
            <w:tcW w:type="dxa" w:w="2721"/>
          </w:tcPr>
          <w:p>
            <w:r>
              <w:rPr>
                <w:sz w:val="17"/>
              </w:rPr>
              <w:t>Delivered</w:t>
            </w:r>
          </w:p>
        </w:tc>
      </w:tr>
      <w:tr>
        <w:trPr>
          <w:cantSplit w:val="true"/>
        </w:trPr>
        <w:tc>
          <w:tcPr>
            <w:tcW w:type="dxa" w:w="964"/>
          </w:tcPr>
          <w:p>
            <w:r>
              <w:rPr>
                <w:sz w:val="17"/>
              </w:rPr>
              <w:t>REQ-03</w:t>
            </w:r>
          </w:p>
        </w:tc>
        <w:tc>
          <w:tcPr>
            <w:tcW w:type="dxa" w:w="964"/>
          </w:tcPr>
          <w:p>
            <w:r>
              <w:rPr>
                <w:sz w:val="17"/>
              </w:rPr>
              <w:t>Must</w:t>
            </w:r>
          </w:p>
        </w:tc>
        <w:tc>
          <w:tcPr>
            <w:tcW w:type="dxa" w:w="4989"/>
          </w:tcPr>
          <w:p>
            <w:r>
              <w:rPr>
                <w:sz w:val="17"/>
              </w:rPr>
              <w:t>Create and send quotes from templates, with VAT calculated correctly</w:t>
            </w:r>
          </w:p>
        </w:tc>
        <w:tc>
          <w:tcPr>
            <w:tcW w:type="dxa" w:w="2721"/>
          </w:tcPr>
          <w:p>
            <w:r>
              <w:rPr>
                <w:sz w:val="17"/>
              </w:rPr>
              <w:t>Delivered</w:t>
            </w:r>
          </w:p>
        </w:tc>
      </w:tr>
      <w:tr>
        <w:trPr>
          <w:cantSplit w:val="true"/>
        </w:trPr>
        <w:tc>
          <w:tcPr>
            <w:tcW w:type="dxa" w:w="964"/>
          </w:tcPr>
          <w:p>
            <w:r>
              <w:rPr>
                <w:sz w:val="17"/>
              </w:rPr>
              <w:t>REQ-04</w:t>
            </w:r>
          </w:p>
        </w:tc>
        <w:tc>
          <w:tcPr>
            <w:tcW w:type="dxa" w:w="964"/>
          </w:tcPr>
          <w:p>
            <w:r>
              <w:rPr>
                <w:sz w:val="17"/>
              </w:rPr>
              <w:t>Must</w:t>
            </w:r>
          </w:p>
        </w:tc>
        <w:tc>
          <w:tcPr>
            <w:tcW w:type="dxa" w:w="4989"/>
          </w:tcPr>
          <w:p>
            <w:r>
              <w:rPr>
                <w:sz w:val="17"/>
              </w:rPr>
              <w:t>Sales pipeline with stages and automatic follow-up tasks</w:t>
            </w:r>
          </w:p>
        </w:tc>
        <w:tc>
          <w:tcPr>
            <w:tcW w:type="dxa" w:w="2721"/>
          </w:tcPr>
          <w:p>
            <w:r>
              <w:rPr>
                <w:sz w:val="17"/>
              </w:rPr>
              <w:t>Delivered</w:t>
            </w:r>
          </w:p>
        </w:tc>
      </w:tr>
      <w:tr>
        <w:trPr>
          <w:cantSplit w:val="true"/>
        </w:trPr>
        <w:tc>
          <w:tcPr>
            <w:tcW w:type="dxa" w:w="964"/>
          </w:tcPr>
          <w:p>
            <w:r>
              <w:rPr>
                <w:sz w:val="17"/>
              </w:rPr>
              <w:t>REQ-05</w:t>
            </w:r>
          </w:p>
        </w:tc>
        <w:tc>
          <w:tcPr>
            <w:tcW w:type="dxa" w:w="964"/>
          </w:tcPr>
          <w:p>
            <w:r>
              <w:rPr>
                <w:sz w:val="17"/>
              </w:rPr>
              <w:t>Must</w:t>
            </w:r>
          </w:p>
        </w:tc>
        <w:tc>
          <w:tcPr>
            <w:tcW w:type="dxa" w:w="4989"/>
          </w:tcPr>
          <w:p>
            <w:r>
              <w:rPr>
                <w:sz w:val="17"/>
              </w:rPr>
              <w:t>Job records linked to customer and quote, assignable to an engineer</w:t>
            </w:r>
          </w:p>
        </w:tc>
        <w:tc>
          <w:tcPr>
            <w:tcW w:type="dxa" w:w="2721"/>
          </w:tcPr>
          <w:p>
            <w:r>
              <w:rPr>
                <w:sz w:val="17"/>
              </w:rPr>
              <w:t>Delivered</w:t>
            </w:r>
          </w:p>
        </w:tc>
      </w:tr>
      <w:tr>
        <w:trPr>
          <w:cantSplit w:val="true"/>
        </w:trPr>
        <w:tc>
          <w:tcPr>
            <w:tcW w:type="dxa" w:w="964"/>
          </w:tcPr>
          <w:p>
            <w:r>
              <w:rPr>
                <w:sz w:val="17"/>
              </w:rPr>
              <w:t>REQ-06</w:t>
            </w:r>
          </w:p>
        </w:tc>
        <w:tc>
          <w:tcPr>
            <w:tcW w:type="dxa" w:w="964"/>
          </w:tcPr>
          <w:p>
            <w:r>
              <w:rPr>
                <w:sz w:val="17"/>
              </w:rPr>
              <w:t>Must</w:t>
            </w:r>
          </w:p>
        </w:tc>
        <w:tc>
          <w:tcPr>
            <w:tcW w:type="dxa" w:w="4989"/>
          </w:tcPr>
          <w:p>
            <w:r>
              <w:rPr>
                <w:sz w:val="17"/>
              </w:rPr>
              <w:t>Mobile access for engineers: job details, notes, photos and customer sign-off</w:t>
            </w:r>
          </w:p>
        </w:tc>
        <w:tc>
          <w:tcPr>
            <w:tcW w:type="dxa" w:w="2721"/>
          </w:tcPr>
          <w:p>
            <w:r>
              <w:rPr>
                <w:sz w:val="17"/>
              </w:rPr>
              <w:t>Delivered</w:t>
            </w:r>
          </w:p>
        </w:tc>
      </w:tr>
      <w:tr>
        <w:trPr>
          <w:cantSplit w:val="true"/>
        </w:trPr>
        <w:tc>
          <w:tcPr>
            <w:tcW w:type="dxa" w:w="964"/>
          </w:tcPr>
          <w:p>
            <w:r>
              <w:rPr>
                <w:sz w:val="17"/>
              </w:rPr>
              <w:t>REQ-07</w:t>
            </w:r>
          </w:p>
        </w:tc>
        <w:tc>
          <w:tcPr>
            <w:tcW w:type="dxa" w:w="964"/>
          </w:tcPr>
          <w:p>
            <w:r>
              <w:rPr>
                <w:sz w:val="17"/>
              </w:rPr>
              <w:t>Must</w:t>
            </w:r>
          </w:p>
        </w:tc>
        <w:tc>
          <w:tcPr>
            <w:tcW w:type="dxa" w:w="4989"/>
          </w:tcPr>
          <w:p>
            <w:r>
              <w:rPr>
                <w:sz w:val="17"/>
              </w:rPr>
              <w:t>Migrate active customers (last 6 years) with duplicates removed</w:t>
            </w:r>
          </w:p>
        </w:tc>
        <w:tc>
          <w:tcPr>
            <w:tcW w:type="dxa" w:w="2721"/>
          </w:tcPr>
          <w:p>
            <w:r>
              <w:rPr>
                <w:sz w:val="17"/>
              </w:rPr>
              <w:t>Delivered</w:t>
            </w:r>
          </w:p>
        </w:tc>
      </w:tr>
      <w:tr>
        <w:trPr>
          <w:cantSplit w:val="true"/>
        </w:trPr>
        <w:tc>
          <w:tcPr>
            <w:tcW w:type="dxa" w:w="964"/>
          </w:tcPr>
          <w:p>
            <w:r>
              <w:rPr>
                <w:sz w:val="17"/>
              </w:rPr>
              <w:t>REQ-08</w:t>
            </w:r>
          </w:p>
        </w:tc>
        <w:tc>
          <w:tcPr>
            <w:tcW w:type="dxa" w:w="964"/>
          </w:tcPr>
          <w:p>
            <w:r>
              <w:rPr>
                <w:sz w:val="17"/>
              </w:rPr>
              <w:t>Must</w:t>
            </w:r>
          </w:p>
        </w:tc>
        <w:tc>
          <w:tcPr>
            <w:tcW w:type="dxa" w:w="4989"/>
          </w:tcPr>
          <w:p>
            <w:r>
              <w:rPr>
                <w:sz w:val="17"/>
              </w:rPr>
              <w:t>Role-based access and UK GDPR-aligned retention rules</w:t>
            </w:r>
          </w:p>
        </w:tc>
        <w:tc>
          <w:tcPr>
            <w:tcW w:type="dxa" w:w="2721"/>
          </w:tcPr>
          <w:p>
            <w:r>
              <w:rPr>
                <w:sz w:val="17"/>
              </w:rPr>
              <w:t>Delivered</w:t>
            </w:r>
          </w:p>
        </w:tc>
      </w:tr>
      <w:tr>
        <w:trPr>
          <w:cantSplit w:val="true"/>
        </w:trPr>
        <w:tc>
          <w:tcPr>
            <w:tcW w:type="dxa" w:w="964"/>
          </w:tcPr>
          <w:p>
            <w:r>
              <w:rPr>
                <w:sz w:val="17"/>
              </w:rPr>
              <w:t>REQ-09</w:t>
            </w:r>
          </w:p>
        </w:tc>
        <w:tc>
          <w:tcPr>
            <w:tcW w:type="dxa" w:w="964"/>
          </w:tcPr>
          <w:p>
            <w:r>
              <w:rPr>
                <w:sz w:val="17"/>
              </w:rPr>
              <w:t>Should</w:t>
            </w:r>
          </w:p>
        </w:tc>
        <w:tc>
          <w:tcPr>
            <w:tcW w:type="dxa" w:w="4989"/>
          </w:tcPr>
          <w:p>
            <w:r>
              <w:rPr>
                <w:sz w:val="17"/>
              </w:rPr>
              <w:t>Automated annual boiler-service reminders by email and SMS</w:t>
            </w:r>
          </w:p>
        </w:tc>
        <w:tc>
          <w:tcPr>
            <w:tcW w:type="dxa" w:w="2721"/>
          </w:tcPr>
          <w:p>
            <w:r>
              <w:rPr>
                <w:sz w:val="17"/>
              </w:rPr>
              <w:t>Delivered</w:t>
            </w:r>
          </w:p>
        </w:tc>
      </w:tr>
      <w:tr>
        <w:trPr>
          <w:cantSplit w:val="true"/>
        </w:trPr>
        <w:tc>
          <w:tcPr>
            <w:tcW w:type="dxa" w:w="964"/>
          </w:tcPr>
          <w:p>
            <w:r>
              <w:rPr>
                <w:sz w:val="17"/>
              </w:rPr>
              <w:t>REQ-10</w:t>
            </w:r>
          </w:p>
        </w:tc>
        <w:tc>
          <w:tcPr>
            <w:tcW w:type="dxa" w:w="964"/>
          </w:tcPr>
          <w:p>
            <w:r>
              <w:rPr>
                <w:sz w:val="17"/>
              </w:rPr>
              <w:t>Should</w:t>
            </w:r>
          </w:p>
        </w:tc>
        <w:tc>
          <w:tcPr>
            <w:tcW w:type="dxa" w:w="4989"/>
          </w:tcPr>
          <w:p>
            <w:r>
              <w:rPr>
                <w:sz w:val="17"/>
              </w:rPr>
              <w:t>Sync invoices and customers with the existing accounting package</w:t>
            </w:r>
          </w:p>
        </w:tc>
        <w:tc>
          <w:tcPr>
            <w:tcW w:type="dxa" w:w="2721"/>
          </w:tcPr>
          <w:p>
            <w:r>
              <w:rPr>
                <w:sz w:val="17"/>
              </w:rPr>
              <w:t>Partly delivered (one-way sync; two-way in backlog)</w:t>
            </w:r>
          </w:p>
        </w:tc>
      </w:tr>
      <w:tr>
        <w:trPr>
          <w:cantSplit w:val="true"/>
        </w:trPr>
        <w:tc>
          <w:tcPr>
            <w:tcW w:type="dxa" w:w="964"/>
          </w:tcPr>
          <w:p>
            <w:r>
              <w:rPr>
                <w:sz w:val="17"/>
              </w:rPr>
              <w:t>REQ-11</w:t>
            </w:r>
          </w:p>
        </w:tc>
        <w:tc>
          <w:tcPr>
            <w:tcW w:type="dxa" w:w="964"/>
          </w:tcPr>
          <w:p>
            <w:r>
              <w:rPr>
                <w:sz w:val="17"/>
              </w:rPr>
              <w:t>Should</w:t>
            </w:r>
          </w:p>
        </w:tc>
        <w:tc>
          <w:tcPr>
            <w:tcW w:type="dxa" w:w="4989"/>
          </w:tcPr>
          <w:p>
            <w:r>
              <w:rPr>
                <w:sz w:val="17"/>
              </w:rPr>
              <w:t>Log emails against the customer record</w:t>
            </w:r>
          </w:p>
        </w:tc>
        <w:tc>
          <w:tcPr>
            <w:tcW w:type="dxa" w:w="2721"/>
          </w:tcPr>
          <w:p>
            <w:r>
              <w:rPr>
                <w:sz w:val="17"/>
              </w:rPr>
              <w:t>Delivered</w:t>
            </w:r>
          </w:p>
        </w:tc>
      </w:tr>
      <w:tr>
        <w:trPr>
          <w:cantSplit w:val="true"/>
        </w:trPr>
        <w:tc>
          <w:tcPr>
            <w:tcW w:type="dxa" w:w="964"/>
          </w:tcPr>
          <w:p>
            <w:r>
              <w:rPr>
                <w:sz w:val="17"/>
              </w:rPr>
              <w:t>REQ-12</w:t>
            </w:r>
          </w:p>
        </w:tc>
        <w:tc>
          <w:tcPr>
            <w:tcW w:type="dxa" w:w="964"/>
          </w:tcPr>
          <w:p>
            <w:r>
              <w:rPr>
                <w:sz w:val="17"/>
              </w:rPr>
              <w:t>Should</w:t>
            </w:r>
          </w:p>
        </w:tc>
        <w:tc>
          <w:tcPr>
            <w:tcW w:type="dxa" w:w="4989"/>
          </w:tcPr>
          <w:p>
            <w:r>
              <w:rPr>
                <w:sz w:val="17"/>
              </w:rPr>
              <w:t>Management reports: pipeline value, conversion rate, quote turnaround</w:t>
            </w:r>
          </w:p>
        </w:tc>
        <w:tc>
          <w:tcPr>
            <w:tcW w:type="dxa" w:w="2721"/>
          </w:tcPr>
          <w:p>
            <w:r>
              <w:rPr>
                <w:sz w:val="17"/>
              </w:rPr>
              <w:t>Delivered</w:t>
            </w:r>
          </w:p>
        </w:tc>
      </w:tr>
      <w:tr>
        <w:trPr>
          <w:cantSplit w:val="true"/>
        </w:trPr>
        <w:tc>
          <w:tcPr>
            <w:tcW w:type="dxa" w:w="964"/>
          </w:tcPr>
          <w:p>
            <w:r>
              <w:rPr>
                <w:sz w:val="17"/>
              </w:rPr>
              <w:t>REQ-13</w:t>
            </w:r>
          </w:p>
        </w:tc>
        <w:tc>
          <w:tcPr>
            <w:tcW w:type="dxa" w:w="964"/>
          </w:tcPr>
          <w:p>
            <w:r>
              <w:rPr>
                <w:sz w:val="17"/>
              </w:rPr>
              <w:t>Should</w:t>
            </w:r>
          </w:p>
        </w:tc>
        <w:tc>
          <w:tcPr>
            <w:tcW w:type="dxa" w:w="4989"/>
          </w:tcPr>
          <w:p>
            <w:r>
              <w:rPr>
                <w:sz w:val="17"/>
              </w:rPr>
              <w:t>Offline mode for the mobile app in low-signal areas</w:t>
            </w:r>
          </w:p>
        </w:tc>
        <w:tc>
          <w:tcPr>
            <w:tcW w:type="dxa" w:w="2721"/>
          </w:tcPr>
          <w:p>
            <w:r>
              <w:rPr>
                <w:sz w:val="17"/>
              </w:rPr>
              <w:t>Delivered</w:t>
            </w:r>
          </w:p>
        </w:tc>
      </w:tr>
      <w:tr>
        <w:trPr>
          <w:cantSplit w:val="true"/>
        </w:trPr>
        <w:tc>
          <w:tcPr>
            <w:tcW w:type="dxa" w:w="964"/>
          </w:tcPr>
          <w:p>
            <w:r>
              <w:rPr>
                <w:sz w:val="17"/>
              </w:rPr>
              <w:t>REQ-14</w:t>
            </w:r>
          </w:p>
        </w:tc>
        <w:tc>
          <w:tcPr>
            <w:tcW w:type="dxa" w:w="964"/>
          </w:tcPr>
          <w:p>
            <w:r>
              <w:rPr>
                <w:sz w:val="17"/>
              </w:rPr>
              <w:t>Could</w:t>
            </w:r>
          </w:p>
        </w:tc>
        <w:tc>
          <w:tcPr>
            <w:tcW w:type="dxa" w:w="4989"/>
          </w:tcPr>
          <w:p>
            <w:r>
              <w:rPr>
                <w:sz w:val="17"/>
              </w:rPr>
              <w:t>Customer online booking portal</w:t>
            </w:r>
          </w:p>
        </w:tc>
        <w:tc>
          <w:tcPr>
            <w:tcW w:type="dxa" w:w="2721"/>
          </w:tcPr>
          <w:p>
            <w:r>
              <w:rPr>
                <w:sz w:val="17"/>
              </w:rPr>
              <w:t>Deferred to backlog</w:t>
            </w:r>
          </w:p>
        </w:tc>
      </w:tr>
      <w:tr>
        <w:trPr>
          <w:cantSplit w:val="true"/>
        </w:trPr>
        <w:tc>
          <w:tcPr>
            <w:tcW w:type="dxa" w:w="964"/>
          </w:tcPr>
          <w:p>
            <w:r>
              <w:rPr>
                <w:sz w:val="17"/>
              </w:rPr>
              <w:t>REQ-15</w:t>
            </w:r>
          </w:p>
        </w:tc>
        <w:tc>
          <w:tcPr>
            <w:tcW w:type="dxa" w:w="964"/>
          </w:tcPr>
          <w:p>
            <w:r>
              <w:rPr>
                <w:sz w:val="17"/>
              </w:rPr>
              <w:t>Could</w:t>
            </w:r>
          </w:p>
        </w:tc>
        <w:tc>
          <w:tcPr>
            <w:tcW w:type="dxa" w:w="4989"/>
          </w:tcPr>
          <w:p>
            <w:r>
              <w:rPr>
                <w:sz w:val="17"/>
              </w:rPr>
              <w:t>Post-job customer satisfaction survey</w:t>
            </w:r>
          </w:p>
        </w:tc>
        <w:tc>
          <w:tcPr>
            <w:tcW w:type="dxa" w:w="2721"/>
          </w:tcPr>
          <w:p>
            <w:r>
              <w:rPr>
                <w:sz w:val="17"/>
              </w:rPr>
              <w:t>Delivered</w:t>
            </w:r>
          </w:p>
        </w:tc>
      </w:tr>
      <w:tr>
        <w:trPr>
          <w:cantSplit w:val="true"/>
        </w:trPr>
        <w:tc>
          <w:tcPr>
            <w:tcW w:type="dxa" w:w="964"/>
          </w:tcPr>
          <w:p>
            <w:r>
              <w:rPr>
                <w:sz w:val="17"/>
              </w:rPr>
              <w:t>REQ-16</w:t>
            </w:r>
          </w:p>
        </w:tc>
        <w:tc>
          <w:tcPr>
            <w:tcW w:type="dxa" w:w="964"/>
          </w:tcPr>
          <w:p>
            <w:r>
              <w:rPr>
                <w:sz w:val="17"/>
              </w:rPr>
              <w:t>Could</w:t>
            </w:r>
          </w:p>
        </w:tc>
        <w:tc>
          <w:tcPr>
            <w:tcW w:type="dxa" w:w="4989"/>
          </w:tcPr>
          <w:p>
            <w:r>
              <w:rPr>
                <w:sz w:val="17"/>
              </w:rPr>
              <w:t>Van stock tracking</w:t>
            </w:r>
          </w:p>
        </w:tc>
        <w:tc>
          <w:tcPr>
            <w:tcW w:type="dxa" w:w="2721"/>
          </w:tcPr>
          <w:p>
            <w:r>
              <w:rPr>
                <w:sz w:val="17"/>
              </w:rPr>
              <w:t>Deferred to backlog</w:t>
            </w:r>
          </w:p>
        </w:tc>
      </w:tr>
    </w:tbl>
    <w:p>
      <w:pPr>
        <w:spacing w:after="0"/>
      </w:pPr>
    </w:p>
    <w:p>
      <w:pPr>
        <w:pStyle w:val="Heading1"/>
      </w:pPr>
      <w:r>
        <w:t>6. Early benefit indicators (simulated, first 3 weeks)</w:t>
      </w:r>
    </w:p>
    <w:p>
      <w:r>
        <w:rPr>
          <w:i/>
          <w:color w:val="7C4A03"/>
          <w:sz w:val="18"/>
        </w:rPr>
        <w:t>These are invented figures for a fictional company, included to show how benefits would be tracked. They are not real results.</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2948"/>
        <w:gridCol w:w="2041"/>
        <w:gridCol w:w="2381"/>
        <w:gridCol w:w="2268"/>
      </w:tblGrid>
      <w:tr>
        <w:trPr>
          <w:tblHeader w:val="true"/>
        </w:trPr>
        <w:tc>
          <w:tcPr>
            <w:tcW w:type="dxa" w:w="2948"/>
            <w:shd w:val="clear" w:color="auto" w:fill="0F1D3A"/>
          </w:tcPr>
          <w:p>
            <w:r>
              <w:rPr>
                <w:b/>
                <w:color w:val="FFFFFF"/>
                <w:sz w:val="18"/>
              </w:rPr>
              <w:t>Measure</w:t>
            </w:r>
          </w:p>
        </w:tc>
        <w:tc>
          <w:tcPr>
            <w:tcW w:type="dxa" w:w="2041"/>
            <w:shd w:val="clear" w:color="auto" w:fill="0F1D3A"/>
          </w:tcPr>
          <w:p>
            <w:r>
              <w:rPr>
                <w:b/>
                <w:color w:val="FFFFFF"/>
                <w:sz w:val="18"/>
              </w:rPr>
              <w:t>Target</w:t>
            </w:r>
          </w:p>
        </w:tc>
        <w:tc>
          <w:tcPr>
            <w:tcW w:type="dxa" w:w="2381"/>
            <w:shd w:val="clear" w:color="auto" w:fill="0F1D3A"/>
          </w:tcPr>
          <w:p>
            <w:r>
              <w:rPr>
                <w:b/>
                <w:color w:val="FFFFFF"/>
                <w:sz w:val="18"/>
              </w:rPr>
              <w:t>Early indicator</w:t>
            </w:r>
          </w:p>
        </w:tc>
        <w:tc>
          <w:tcPr>
            <w:tcW w:type="dxa" w:w="2268"/>
            <w:shd w:val="clear" w:color="auto" w:fill="0F1D3A"/>
          </w:tcPr>
          <w:p>
            <w:r>
              <w:rPr>
                <w:b/>
                <w:color w:val="FFFFFF"/>
                <w:sz w:val="18"/>
              </w:rPr>
              <w:t>Next review</w:t>
            </w:r>
          </w:p>
        </w:tc>
      </w:tr>
      <w:tr>
        <w:trPr>
          <w:cantSplit w:val="true"/>
        </w:trPr>
        <w:tc>
          <w:tcPr>
            <w:tcW w:type="dxa" w:w="2948"/>
          </w:tcPr>
          <w:p>
            <w:r>
              <w:rPr>
                <w:sz w:val="18"/>
              </w:rPr>
              <w:t>Enquiries logged in CRM</w:t>
            </w:r>
          </w:p>
        </w:tc>
        <w:tc>
          <w:tcPr>
            <w:tcW w:type="dxa" w:w="2041"/>
          </w:tcPr>
          <w:p>
            <w:r>
              <w:rPr>
                <w:sz w:val="18"/>
              </w:rPr>
              <w:t>100%</w:t>
            </w:r>
          </w:p>
        </w:tc>
        <w:tc>
          <w:tcPr>
            <w:tcW w:type="dxa" w:w="2381"/>
          </w:tcPr>
          <w:p>
            <w:r>
              <w:rPr>
                <w:sz w:val="18"/>
              </w:rPr>
              <w:t>100% from hypercare week 2</w:t>
            </w:r>
          </w:p>
        </w:tc>
        <w:tc>
          <w:tcPr>
            <w:tcW w:type="dxa" w:w="2268"/>
          </w:tcPr>
          <w:p>
            <w:r>
              <w:rPr>
                <w:sz w:val="18"/>
              </w:rPr>
              <w:t>Monthly report</w:t>
            </w:r>
          </w:p>
        </w:tc>
      </w:tr>
      <w:tr>
        <w:trPr>
          <w:cantSplit w:val="true"/>
        </w:trPr>
        <w:tc>
          <w:tcPr>
            <w:tcW w:type="dxa" w:w="2948"/>
          </w:tcPr>
          <w:p>
            <w:r>
              <w:rPr>
                <w:sz w:val="18"/>
              </w:rPr>
              <w:t>Engineers using the mobile app daily</w:t>
            </w:r>
          </w:p>
        </w:tc>
        <w:tc>
          <w:tcPr>
            <w:tcW w:type="dxa" w:w="2041"/>
          </w:tcPr>
          <w:p>
            <w:r>
              <w:rPr>
                <w:sz w:val="18"/>
              </w:rPr>
              <w:t>All 6 tablet users</w:t>
            </w:r>
          </w:p>
        </w:tc>
        <w:tc>
          <w:tcPr>
            <w:tcW w:type="dxa" w:w="2381"/>
          </w:tcPr>
          <w:p>
            <w:r>
              <w:rPr>
                <w:sz w:val="18"/>
              </w:rPr>
              <w:t>5 of 6</w:t>
            </w:r>
          </w:p>
        </w:tc>
        <w:tc>
          <w:tcPr>
            <w:tcW w:type="dxa" w:w="2268"/>
          </w:tcPr>
          <w:p>
            <w:r>
              <w:rPr>
                <w:sz w:val="18"/>
              </w:rPr>
              <w:t>3-month review</w:t>
            </w:r>
          </w:p>
        </w:tc>
      </w:tr>
      <w:tr>
        <w:trPr>
          <w:cantSplit w:val="true"/>
        </w:trPr>
        <w:tc>
          <w:tcPr>
            <w:tcW w:type="dxa" w:w="2948"/>
          </w:tcPr>
          <w:p>
            <w:r>
              <w:rPr>
                <w:sz w:val="18"/>
              </w:rPr>
              <w:t>Quote turnaround</w:t>
            </w:r>
          </w:p>
        </w:tc>
        <w:tc>
          <w:tcPr>
            <w:tcW w:type="dxa" w:w="2041"/>
          </w:tcPr>
          <w:p>
            <w:r>
              <w:rPr>
                <w:sz w:val="18"/>
              </w:rPr>
              <w:t>2 working days</w:t>
            </w:r>
          </w:p>
        </w:tc>
        <w:tc>
          <w:tcPr>
            <w:tcW w:type="dxa" w:w="2381"/>
          </w:tcPr>
          <w:p>
            <w:r>
              <w:rPr>
                <w:sz w:val="18"/>
              </w:rPr>
              <w:t>2.8 days average</w:t>
            </w:r>
          </w:p>
        </w:tc>
        <w:tc>
          <w:tcPr>
            <w:tcW w:type="dxa" w:w="2268"/>
          </w:tcPr>
          <w:p>
            <w:r>
              <w:rPr>
                <w:sz w:val="18"/>
              </w:rPr>
              <w:t>3 and 6 months</w:t>
            </w:r>
          </w:p>
        </w:tc>
      </w:tr>
      <w:tr>
        <w:trPr>
          <w:cantSplit w:val="true"/>
        </w:trPr>
        <w:tc>
          <w:tcPr>
            <w:tcW w:type="dxa" w:w="2948"/>
          </w:tcPr>
          <w:p>
            <w:r>
              <w:rPr>
                <w:sz w:val="18"/>
              </w:rPr>
              <w:t>Quotes followed up</w:t>
            </w:r>
          </w:p>
        </w:tc>
        <w:tc>
          <w:tcPr>
            <w:tcW w:type="dxa" w:w="2041"/>
          </w:tcPr>
          <w:p>
            <w:r>
              <w:rPr>
                <w:sz w:val="18"/>
              </w:rPr>
              <w:t>90%</w:t>
            </w:r>
          </w:p>
        </w:tc>
        <w:tc>
          <w:tcPr>
            <w:tcW w:type="dxa" w:w="2381"/>
          </w:tcPr>
          <w:p>
            <w:r>
              <w:rPr>
                <w:sz w:val="18"/>
              </w:rPr>
              <w:t>84%</w:t>
            </w:r>
          </w:p>
        </w:tc>
        <w:tc>
          <w:tcPr>
            <w:tcW w:type="dxa" w:w="2268"/>
          </w:tcPr>
          <w:p>
            <w:r>
              <w:rPr>
                <w:sz w:val="18"/>
              </w:rPr>
              <w:t>3 and 6 months</w:t>
            </w:r>
          </w:p>
        </w:tc>
      </w:tr>
      <w:tr>
        <w:trPr>
          <w:cantSplit w:val="true"/>
        </w:trPr>
        <w:tc>
          <w:tcPr>
            <w:tcW w:type="dxa" w:w="2948"/>
          </w:tcPr>
          <w:p>
            <w:r>
              <w:rPr>
                <w:sz w:val="18"/>
              </w:rPr>
              <w:t>Service reminders sent automatically</w:t>
            </w:r>
          </w:p>
        </w:tc>
        <w:tc>
          <w:tcPr>
            <w:tcW w:type="dxa" w:w="2041"/>
          </w:tcPr>
          <w:p>
            <w:r>
              <w:rPr>
                <w:sz w:val="18"/>
              </w:rPr>
              <w:t>All due services</w:t>
            </w:r>
          </w:p>
        </w:tc>
        <w:tc>
          <w:tcPr>
            <w:tcW w:type="dxa" w:w="2381"/>
          </w:tcPr>
          <w:p>
            <w:r>
              <w:rPr>
                <w:sz w:val="18"/>
              </w:rPr>
              <w:t>Running since go-live</w:t>
            </w:r>
          </w:p>
        </w:tc>
        <w:tc>
          <w:tcPr>
            <w:tcW w:type="dxa" w:w="2268"/>
          </w:tcPr>
          <w:p>
            <w:r>
              <w:rPr>
                <w:sz w:val="18"/>
              </w:rPr>
              <w:t>6 months</w:t>
            </w:r>
          </w:p>
        </w:tc>
      </w:tr>
    </w:tbl>
    <w:p>
      <w:pPr>
        <w:spacing w:after="0"/>
      </w:pPr>
    </w:p>
    <w:p>
      <w:pPr>
        <w:pStyle w:val="Heading1"/>
      </w:pPr>
      <w:r>
        <w:t>7. Handover and follow-on actions</w:t>
      </w:r>
    </w:p>
    <w:p>
      <w:pPr>
        <w:pStyle w:val="ListBullet"/>
        <w:spacing w:after="40"/>
      </w:pPr>
      <w:r>
        <w:rPr>
          <w:b/>
        </w:rPr>
        <w:t>R02 adoption risk:</w:t>
      </w:r>
      <w:r>
        <w:t xml:space="preserve"> transferred to Dave Pearson; usage report reviewed monthly.</w:t>
      </w:r>
    </w:p>
    <w:p>
      <w:pPr>
        <w:pStyle w:val="ListBullet"/>
        <w:spacing w:after="40"/>
      </w:pPr>
      <w:r>
        <w:rPr>
          <w:b/>
        </w:rPr>
        <w:t>Backlog:</w:t>
      </w:r>
      <w:r>
        <w:t xml:space="preserve"> two-way accounting sync (REQ-10), online booking portal (REQ-14), van stock tracking (REQ-16).</w:t>
      </w:r>
    </w:p>
    <w:p>
      <w:pPr>
        <w:pStyle w:val="ListBullet"/>
        <w:spacing w:after="40"/>
      </w:pPr>
      <w:r>
        <w:rPr>
          <w:b/>
        </w:rPr>
        <w:t>Benefits reviews:</w:t>
      </w:r>
      <w:r>
        <w:t xml:space="preserve"> at 3 and 6 months after go-live, owned by the sponsor.</w:t>
      </w:r>
    </w:p>
    <w:p>
      <w:pPr>
        <w:pStyle w:val="ListBullet"/>
        <w:spacing w:after="40"/>
      </w:pPr>
      <w:r>
        <w:rPr>
          <w:b/>
        </w:rPr>
        <w:t>Support:</w:t>
      </w:r>
      <w:r>
        <w:t xml:space="preserve"> supplier support contract and Priya Shah as internal system owner.</w:t>
      </w:r>
    </w:p>
    <w:p>
      <w:pPr>
        <w:pStyle w:val="Heading1"/>
      </w:pPr>
      <w:r>
        <w:t>8. Lessons learned</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1474"/>
        <w:gridCol w:w="2835"/>
        <w:gridCol w:w="2381"/>
        <w:gridCol w:w="2948"/>
      </w:tblGrid>
      <w:tr>
        <w:trPr>
          <w:tblHeader w:val="true"/>
        </w:trPr>
        <w:tc>
          <w:tcPr>
            <w:tcW w:type="dxa" w:w="1474"/>
            <w:shd w:val="clear" w:color="auto" w:fill="0F1D3A"/>
          </w:tcPr>
          <w:p>
            <w:r>
              <w:rPr>
                <w:b/>
                <w:color w:val="FFFFFF"/>
                <w:sz w:val="17"/>
              </w:rPr>
              <w:t>Theme</w:t>
            </w:r>
          </w:p>
        </w:tc>
        <w:tc>
          <w:tcPr>
            <w:tcW w:type="dxa" w:w="2835"/>
            <w:shd w:val="clear" w:color="auto" w:fill="0F1D3A"/>
          </w:tcPr>
          <w:p>
            <w:r>
              <w:rPr>
                <w:b/>
                <w:color w:val="FFFFFF"/>
                <w:sz w:val="17"/>
              </w:rPr>
              <w:t>What happened</w:t>
            </w:r>
          </w:p>
        </w:tc>
        <w:tc>
          <w:tcPr>
            <w:tcW w:type="dxa" w:w="2381"/>
            <w:shd w:val="clear" w:color="auto" w:fill="0F1D3A"/>
          </w:tcPr>
          <w:p>
            <w:r>
              <w:rPr>
                <w:b/>
                <w:color w:val="FFFFFF"/>
                <w:sz w:val="17"/>
              </w:rPr>
              <w:t>Impact</w:t>
            </w:r>
          </w:p>
        </w:tc>
        <w:tc>
          <w:tcPr>
            <w:tcW w:type="dxa" w:w="2948"/>
            <w:shd w:val="clear" w:color="auto" w:fill="0F1D3A"/>
          </w:tcPr>
          <w:p>
            <w:r>
              <w:rPr>
                <w:b/>
                <w:color w:val="FFFFFF"/>
                <w:sz w:val="17"/>
              </w:rPr>
              <w:t>Recommendation</w:t>
            </w:r>
          </w:p>
        </w:tc>
      </w:tr>
      <w:tr>
        <w:trPr>
          <w:cantSplit w:val="true"/>
        </w:trPr>
        <w:tc>
          <w:tcPr>
            <w:tcW w:type="dxa" w:w="1474"/>
          </w:tcPr>
          <w:p>
            <w:r>
              <w:rPr>
                <w:b/>
                <w:sz w:val="17"/>
              </w:rPr>
              <w:t>Data quality</w:t>
            </w:r>
          </w:p>
        </w:tc>
        <w:tc>
          <w:tcPr>
            <w:tcW w:type="dxa" w:w="2835"/>
          </w:tcPr>
          <w:p>
            <w:r>
              <w:rPr>
                <w:sz w:val="17"/>
              </w:rPr>
              <w:t>Duplicates (I01) were found in week 8, after the plan was set.</w:t>
            </w:r>
          </w:p>
        </w:tc>
        <w:tc>
          <w:tcPr>
            <w:tcW w:type="dxa" w:w="2381"/>
          </w:tcPr>
          <w:p>
            <w:r>
              <w:rPr>
                <w:sz w:val="17"/>
              </w:rPr>
              <w:t>Cleansing took 20 days, not 10; go-live moved from 20 May to 27 May.</w:t>
            </w:r>
          </w:p>
        </w:tc>
        <w:tc>
          <w:tcPr>
            <w:tcW w:type="dxa" w:w="2948"/>
          </w:tcPr>
          <w:p>
            <w:r>
              <w:rPr>
                <w:sz w:val="17"/>
              </w:rPr>
              <w:t>Run a data-quality sample during initiation and plan cleansing from evidence, not hope.</w:t>
            </w:r>
          </w:p>
        </w:tc>
      </w:tr>
      <w:tr>
        <w:trPr>
          <w:cantSplit w:val="true"/>
        </w:trPr>
        <w:tc>
          <w:tcPr>
            <w:tcW w:type="dxa" w:w="1474"/>
          </w:tcPr>
          <w:p>
            <w:r>
              <w:rPr>
                <w:b/>
                <w:sz w:val="17"/>
              </w:rPr>
              <w:t>Supplier quotes</w:t>
            </w:r>
          </w:p>
        </w:tc>
        <w:tc>
          <w:tcPr>
            <w:tcW w:type="dxa" w:w="2835"/>
          </w:tcPr>
          <w:p>
            <w:r>
              <w:rPr>
                <w:sz w:val="17"/>
              </w:rPr>
              <w:t>The accounting connector cost was not in the original quote (I02).</w:t>
            </w:r>
          </w:p>
        </w:tc>
        <w:tc>
          <w:tcPr>
            <w:tcW w:type="dxa" w:w="2381"/>
          </w:tcPr>
          <w:p>
            <w:r>
              <w:rPr>
                <w:sz w:val="17"/>
              </w:rPr>
              <w:t>£900 change request; two-way sync deferred.</w:t>
            </w:r>
          </w:p>
        </w:tc>
        <w:tc>
          <w:tcPr>
            <w:tcW w:type="dxa" w:w="2948"/>
          </w:tcPr>
          <w:p>
            <w:r>
              <w:rPr>
                <w:sz w:val="17"/>
              </w:rPr>
              <w:t>Ask suppliers to confirm every integration in writing, with named versions, before contract.</w:t>
            </w:r>
          </w:p>
        </w:tc>
      </w:tr>
      <w:tr>
        <w:trPr>
          <w:cantSplit w:val="true"/>
        </w:trPr>
        <w:tc>
          <w:tcPr>
            <w:tcW w:type="dxa" w:w="1474"/>
          </w:tcPr>
          <w:p>
            <w:r>
              <w:rPr>
                <w:b/>
                <w:sz w:val="17"/>
              </w:rPr>
              <w:t>Engaging resistant users</w:t>
            </w:r>
          </w:p>
        </w:tc>
        <w:tc>
          <w:tcPr>
            <w:tcW w:type="dxa" w:w="2835"/>
          </w:tcPr>
          <w:p>
            <w:r>
              <w:rPr>
                <w:sz w:val="17"/>
              </w:rPr>
              <w:t>Involving the Field Supervisor in designing the mobile screens turned early resistance into support.</w:t>
            </w:r>
          </w:p>
        </w:tc>
        <w:tc>
          <w:tcPr>
            <w:tcW w:type="dxa" w:w="2381"/>
          </w:tcPr>
          <w:p>
            <w:r>
              <w:rPr>
                <w:sz w:val="17"/>
              </w:rPr>
              <w:t>Field engineer training went to plan; R02 eased.</w:t>
            </w:r>
          </w:p>
        </w:tc>
        <w:tc>
          <w:tcPr>
            <w:tcW w:type="dxa" w:w="2948"/>
          </w:tcPr>
          <w:p>
            <w:r>
              <w:rPr>
                <w:sz w:val="17"/>
              </w:rPr>
              <w:t>Give the most sceptical stakeholder a design role early.</w:t>
            </w:r>
          </w:p>
        </w:tc>
      </w:tr>
      <w:tr>
        <w:trPr>
          <w:cantSplit w:val="true"/>
        </w:trPr>
        <w:tc>
          <w:tcPr>
            <w:tcW w:type="dxa" w:w="1474"/>
          </w:tcPr>
          <w:p>
            <w:r>
              <w:rPr>
                <w:b/>
                <w:sz w:val="17"/>
              </w:rPr>
              <w:t>Baseline and tolerances</w:t>
            </w:r>
          </w:p>
        </w:tc>
        <w:tc>
          <w:tcPr>
            <w:tcW w:type="dxa" w:w="2835"/>
          </w:tcPr>
          <w:p>
            <w:r>
              <w:rPr>
                <w:sz w:val="17"/>
              </w:rPr>
              <w:t>Agreeing a one-week time tolerance up front meant the slip was a managed decision, not a crisis.</w:t>
            </w:r>
          </w:p>
        </w:tc>
        <w:tc>
          <w:tcPr>
            <w:tcW w:type="dxa" w:w="2381"/>
          </w:tcPr>
          <w:p>
            <w:r>
              <w:rPr>
                <w:sz w:val="17"/>
              </w:rPr>
              <w:t>Sponsor approved the new date quickly at the go/no-go.</w:t>
            </w:r>
          </w:p>
        </w:tc>
        <w:tc>
          <w:tcPr>
            <w:tcW w:type="dxa" w:w="2948"/>
          </w:tcPr>
          <w:p>
            <w:r>
              <w:rPr>
                <w:sz w:val="17"/>
              </w:rPr>
              <w:t>Set time, cost and scope tolerances in the charter and report against them.</w:t>
            </w:r>
          </w:p>
        </w:tc>
      </w:tr>
      <w:tr>
        <w:trPr>
          <w:cantSplit w:val="true"/>
        </w:trPr>
        <w:tc>
          <w:tcPr>
            <w:tcW w:type="dxa" w:w="1474"/>
          </w:tcPr>
          <w:p>
            <w:r>
              <w:rPr>
                <w:b/>
                <w:sz w:val="17"/>
              </w:rPr>
              <w:t>Testing with real scenarios</w:t>
            </w:r>
          </w:p>
        </w:tc>
        <w:tc>
          <w:tcPr>
            <w:tcW w:type="dxa" w:w="2835"/>
          </w:tcPr>
          <w:p>
            <w:r>
              <w:rPr>
                <w:sz w:val="17"/>
              </w:rPr>
              <w:t>UAT scripts based on real job types caught the VAT rounding error (I04).</w:t>
            </w:r>
          </w:p>
        </w:tc>
        <w:tc>
          <w:tcPr>
            <w:tcW w:type="dxa" w:w="2381"/>
          </w:tcPr>
          <w:p>
            <w:r>
              <w:rPr>
                <w:sz w:val="17"/>
              </w:rPr>
              <w:t>Fixed before go-live, with no customer impact.</w:t>
            </w:r>
          </w:p>
        </w:tc>
        <w:tc>
          <w:tcPr>
            <w:tcW w:type="dxa" w:w="2948"/>
          </w:tcPr>
          <w:p>
            <w:r>
              <w:rPr>
                <w:sz w:val="17"/>
              </w:rPr>
              <w:t>Write UAT scripts from real past jobs, including awkward edge cases.</w:t>
            </w:r>
          </w:p>
        </w:tc>
      </w:tr>
      <w:tr>
        <w:trPr>
          <w:cantSplit w:val="true"/>
        </w:trPr>
        <w:tc>
          <w:tcPr>
            <w:tcW w:type="dxa" w:w="1474"/>
          </w:tcPr>
          <w:p>
            <w:r>
              <w:rPr>
                <w:b/>
                <w:sz w:val="17"/>
              </w:rPr>
              <w:t>Benefits</w:t>
            </w:r>
          </w:p>
        </w:tc>
        <w:tc>
          <w:tcPr>
            <w:tcW w:type="dxa" w:w="2835"/>
          </w:tcPr>
          <w:p>
            <w:r>
              <w:rPr>
                <w:sz w:val="17"/>
              </w:rPr>
              <w:t>Benefit measures were defined in the business case but baselines were rough estimates.</w:t>
            </w:r>
          </w:p>
        </w:tc>
        <w:tc>
          <w:tcPr>
            <w:tcW w:type="dxa" w:w="2381"/>
          </w:tcPr>
          <w:p>
            <w:r>
              <w:rPr>
                <w:sz w:val="17"/>
              </w:rPr>
              <w:t>Early results are indicative only.</w:t>
            </w:r>
          </w:p>
        </w:tc>
        <w:tc>
          <w:tcPr>
            <w:tcW w:type="dxa" w:w="2948"/>
          </w:tcPr>
          <w:p>
            <w:r>
              <w:rPr>
                <w:sz w:val="17"/>
              </w:rPr>
              <w:t>Measure the baseline (e.g. quote turnaround) before the project starts.</w:t>
            </w:r>
          </w:p>
        </w:tc>
      </w:tr>
    </w:tbl>
    <w:p>
      <w:pPr>
        <w:spacing w:after="0"/>
      </w:pPr>
    </w:p>
    <w:p>
      <w:pPr>
        <w:pStyle w:val="Heading1"/>
      </w:pPr>
      <w:r>
        <w:t>9. Reflection (author's note)</w:t>
      </w:r>
    </w:p>
    <w:p>
      <w:r>
        <w:rPr>
          <w:i w:val="0"/>
          <w:sz w:val="20"/>
        </w:rPr>
        <w:t>I built this simulated project to practise, end to end, the methods I am studying in my MSc modules: a business case and options appraisal, PRINCE2-style governance and tolerances (Managing Projects with PRINCE2), probability-impact risk scoring (Risk Management in Projects), dependency-driven scheduling and visual reporting (Advanced Project Planning and Visualisation), and stakeholder engagement and adoption planning (The Management of Change). The company, people and numbers are fictional. The point is the method and the consistency between artefacts, not the results.</w:t>
      </w:r>
    </w:p>
    <w:p>
      <w:pPr>
        <w:pStyle w:val="Heading1"/>
      </w:pPr>
      <w:r>
        <w:t>10. Sign-off</w:t>
      </w:r>
    </w:p>
    <w:tbl>
      <w:tblPr>
        <w:tblW w:type="auto" w:w="0"/>
        <w:tblLayout w:type="fixed"/>
        <w:tblLook w:firstColumn="1" w:firstRow="1" w:lastColumn="0" w:lastRow="0" w:noHBand="0" w:noVBand="1" w:val="04A0"/>
        <w:tblBorders>
          <w:top w:val="single" w:sz="4" w:color="C9D1DE"/>
          <w:left w:val="single" w:sz="4" w:color="C9D1DE"/>
          <w:bottom w:val="single" w:sz="4" w:color="C9D1DE"/>
          <w:right w:val="single" w:sz="4" w:color="C9D1DE"/>
          <w:insideH w:val="single" w:sz="4" w:color="C9D1DE"/>
          <w:insideV w:val="single" w:sz="4" w:color="C9D1DE"/>
        </w:tblBorders>
        <w:tblLayout w:type="fixed"/>
      </w:tblPr>
      <w:tblGrid>
        <w:gridCol w:w="2551"/>
        <w:gridCol w:w="2551"/>
        <w:gridCol w:w="2268"/>
        <w:gridCol w:w="2268"/>
      </w:tblGrid>
      <w:tr>
        <w:trPr>
          <w:tblHeader w:val="true"/>
        </w:trPr>
        <w:tc>
          <w:tcPr>
            <w:tcW w:type="dxa" w:w="2551"/>
            <w:shd w:val="clear" w:color="auto" w:fill="0F1D3A"/>
          </w:tcPr>
          <w:p>
            <w:r>
              <w:rPr>
                <w:b/>
                <w:color w:val="FFFFFF"/>
                <w:sz w:val="18"/>
              </w:rPr>
              <w:t>Role</w:t>
            </w:r>
          </w:p>
        </w:tc>
        <w:tc>
          <w:tcPr>
            <w:tcW w:type="dxa" w:w="2551"/>
            <w:shd w:val="clear" w:color="auto" w:fill="0F1D3A"/>
          </w:tcPr>
          <w:p>
            <w:r>
              <w:rPr>
                <w:b/>
                <w:color w:val="FFFFFF"/>
                <w:sz w:val="18"/>
              </w:rPr>
              <w:t>Name</w:t>
            </w:r>
          </w:p>
        </w:tc>
        <w:tc>
          <w:tcPr>
            <w:tcW w:type="dxa" w:w="2268"/>
            <w:shd w:val="clear" w:color="auto" w:fill="0F1D3A"/>
          </w:tcPr>
          <w:p>
            <w:r>
              <w:rPr>
                <w:b/>
                <w:color w:val="FFFFFF"/>
                <w:sz w:val="18"/>
              </w:rPr>
              <w:t>Decision</w:t>
            </w:r>
          </w:p>
        </w:tc>
        <w:tc>
          <w:tcPr>
            <w:tcW w:type="dxa" w:w="2268"/>
            <w:shd w:val="clear" w:color="auto" w:fill="0F1D3A"/>
          </w:tcPr>
          <w:p>
            <w:r>
              <w:rPr>
                <w:b/>
                <w:color w:val="FFFFFF"/>
                <w:sz w:val="18"/>
              </w:rPr>
              <w:t>Date</w:t>
            </w:r>
          </w:p>
        </w:tc>
      </w:tr>
      <w:tr>
        <w:trPr>
          <w:cantSplit w:val="true"/>
        </w:trPr>
        <w:tc>
          <w:tcPr>
            <w:tcW w:type="dxa" w:w="2551"/>
          </w:tcPr>
          <w:p>
            <w:r>
              <w:rPr>
                <w:sz w:val="18"/>
              </w:rPr>
              <w:t>Sponsor</w:t>
            </w:r>
          </w:p>
        </w:tc>
        <w:tc>
          <w:tcPr>
            <w:tcW w:type="dxa" w:w="2551"/>
          </w:tcPr>
          <w:p>
            <w:r>
              <w:rPr>
                <w:sz w:val="18"/>
              </w:rPr>
              <w:t>Helen Marsh</w:t>
            </w:r>
          </w:p>
        </w:tc>
        <w:tc>
          <w:tcPr>
            <w:tcW w:type="dxa" w:w="2268"/>
          </w:tcPr>
          <w:p>
            <w:r>
              <w:rPr>
                <w:sz w:val="18"/>
              </w:rPr>
              <w:t>Project closed</w:t>
            </w:r>
          </w:p>
        </w:tc>
        <w:tc>
          <w:tcPr>
            <w:tcW w:type="dxa" w:w="2268"/>
          </w:tcPr>
          <w:p>
            <w:r>
              <w:rPr>
                <w:sz w:val="18"/>
              </w:rPr>
              <w:t>16 Jun 2026</w:t>
            </w:r>
          </w:p>
        </w:tc>
      </w:tr>
      <w:tr>
        <w:trPr>
          <w:cantSplit w:val="true"/>
        </w:trPr>
        <w:tc>
          <w:tcPr>
            <w:tcW w:type="dxa" w:w="2551"/>
          </w:tcPr>
          <w:p>
            <w:r>
              <w:rPr>
                <w:sz w:val="18"/>
              </w:rPr>
              <w:t>Senior User / BAU owner</w:t>
            </w:r>
          </w:p>
        </w:tc>
        <w:tc>
          <w:tcPr>
            <w:tcW w:type="dxa" w:w="2551"/>
          </w:tcPr>
          <w:p>
            <w:r>
              <w:rPr>
                <w:sz w:val="18"/>
              </w:rPr>
              <w:t>Dave Pearson</w:t>
            </w:r>
          </w:p>
        </w:tc>
        <w:tc>
          <w:tcPr>
            <w:tcW w:type="dxa" w:w="2268"/>
          </w:tcPr>
          <w:p>
            <w:r>
              <w:rPr>
                <w:sz w:val="18"/>
              </w:rPr>
              <w:t>Accepted handover</w:t>
            </w:r>
          </w:p>
        </w:tc>
        <w:tc>
          <w:tcPr>
            <w:tcW w:type="dxa" w:w="2268"/>
          </w:tcPr>
          <w:p>
            <w:r>
              <w:rPr>
                <w:sz w:val="18"/>
              </w:rPr>
              <w:t>16 Jun 2026</w:t>
            </w:r>
          </w:p>
        </w:tc>
      </w:tr>
    </w:tbl>
    <w:p>
      <w:pPr>
        <w:spacing w:after="0"/>
      </w:pP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C677D"/>
        <w:sz w:val="15"/>
      </w:rPr>
      <w:t>Simulated project: fictional company, created for portfolio and learning purposes. Cobbleway Home Services Ltd and all people named (other than the author) are fictional; all figures are illustrative.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7C4A03"/>
        <w:sz w:val="16"/>
      </w:rPr>
      <w:t>SIMULATED PROJECT: fictional company  ·  Project Compass: CRM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1D3A"/>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B6E6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