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Teil III Reflection Paper GMP und Zulassungsinhaber (EN) (2 von 3) Kap 5 The Need for Two-way Communication</w:t>
      </w:r>
    </w:p>
    <w:p>
      <w:r>
        <w:t>Quelle: https://health.ec.europa.eu/document/download/c3bac13b-689e-4d01-8321-dbf088bb692a_en?filename=gmp_mah_rp_en.pdf</w:t>
      </w:r>
    </w:p>
    <w:p>
      <w:pPr>
        <w:pStyle w:val="Heading1"/>
      </w:pPr>
      <w:r>
        <w:t>5. Areas of the EC Guide to GMP that relate to MAHs (Fortsetzung)</w:t>
      </w:r>
    </w:p>
    <w:p>
      <w:pPr>
        <w:pStyle w:val="Heading2"/>
      </w:pPr>
      <w:r>
        <w:t>The Need for Two-way Communication Systems:</w:t>
      </w:r>
    </w:p>
    <w:p>
      <w:r>
        <w:t>As noted earlier in this paper, the introductory chapter to the GMP Guide refers to the need for “the requirements of the Marketing Authorisation, relating to the safety, quality and efficacy of the product”, to be “systematically incorporated into all the manufacturing, control and release for sale arrangements of the holder of the Manufacturing Authorisation”. This implies the need for cooperation between the MAH and manufacturer, and the need for two-way communication systems to be in place between them, particularly in relation to what is registered in the MA.</w:t>
      </w:r>
    </w:p>
    <w:p>
      <w:r>
        <w:t>Likewise, the so called ‘GMP Directives’ 2003/94/EC and 91/412 require the manufacturer to ensure that “all manufacturing operations for medicinal products subject to a marketing authorisation are carried out in accordance with the information provided in the application for marketing authorisation as accepted by the competent authorities”. (Ref. Article 5 of Directives 2003/94/EC and 91/412).</w:t>
      </w:r>
    </w:p>
    <w:p>
      <w:r>
        <w:t>It is reasonable to take the view that manufacturers cannot comply with the GMP requirement for batches to be in line with the relevant MA unless the MAH communicates to them what is registered in the dossier. A similar point is made in the preamble to the forthcoming new GMP Directive 2017/1572. This will replace Directive 2003/94/EC in 2019, when EU regulation 536/2014 on Clinical Trials enters into force, and it states the following:</w:t>
      </w:r>
    </w:p>
    <w:p>
      <w:r>
        <w:t>“All medicinal products for human use manufactured or imported into the Union, including medicinal products intended for export, should be manufactured in accordance with the principles and guidelines of good manufacturing practice. However, for the manufacturer to be able to comply with those principles and guidelines, cooperation between the manufacturer and the marketing authorisation holder, when they are different legal entities, is necessary. The obligations of the manufacturer and marketing authorisation holder vis-à-vis each other should be defined in a technical agreement between them.” (Ref. Directive 2017/1572, Preamble Point 4)</w:t>
      </w:r>
    </w:p>
    <w:p>
      <w:r>
        <w:t>Thus, it is considered important that there is cooperation and communication between the MAH and manufacturer, when they are different legal entities, and that such arrangements be described in a technical agreement between the parties.</w:t>
      </w:r>
    </w:p>
    <w:p>
      <w:r>
        <w:t>Fußnote The document titled ‘Guidance for the template for the qualified person’s declaration concerning GMP compliance of active substance manufacture’ also addresses the responsibility of the MAH to ensure that a written confirmation of compliance of the manufac</w:t>
      </w:r>
    </w:p>
    <w:p>
      <w:pPr>
        <w:pStyle w:val="Heading1"/>
      </w:pPr>
      <w:r>
        <w:t>5. Areas of the EC Guide to GMP that relate to MAHs (Fortsetzung)</w:t>
      </w:r>
    </w:p>
    <w:p>
      <w:pPr>
        <w:pStyle w:val="Heading2"/>
      </w:pPr>
      <w:r>
        <w:t>Specific Example of Required Communications:</w:t>
      </w:r>
    </w:p>
    <w:p>
      <w:pPr>
        <w:pStyle w:val="Heading1"/>
      </w:pPr>
      <w:r>
        <w:t>5. Areas of the EC Guide to GMP that relate to MAHs (Fortsetzung)</w:t>
      </w:r>
    </w:p>
    <w:p>
      <w:pPr>
        <w:pStyle w:val="Heading2"/>
      </w:pPr>
      <w:r>
        <w:t>Example 1 - The use of ionising radiation in the manufacture of medicinal products</w:t>
      </w:r>
    </w:p>
    <w:p>
      <w:r>
        <w:t>An example which illustrates the need for such communication can be found in Annex 12 to the GMP Guide. This Annex concerns the use of ionising radiation in the manufacture of medicinal products.</w:t>
      </w:r>
    </w:p>
    <w:p>
      <w:r>
        <w:t>• It states that the “required dose including justified limits will be stated in the marketing authorisation” (Ref. EU GMP Guide Annex 12, Paragraph 3).</w:t>
      </w:r>
    </w:p>
    <w:p>
      <w:r>
        <w:t>• This implies a need for communication between the MAH and the manufacturer in relation to the strength and limits of the irradiating dose.</w:t>
      </w:r>
    </w:p>
    <w:p>
      <w:r>
        <w:t>• The MAH has a responsibility to ensure that this information is registered in the marketing authorisation, and he is expected to communicate what has been registered with the manufacturer, so that the manufacturer may maintain compliance with the marketing authorisation.</w:t>
      </w:r>
    </w:p>
    <w:p>
      <w:pPr>
        <w:pStyle w:val="Heading1"/>
      </w:pPr>
      <w:r>
        <w:t>5. Areas of the EC Guide to GMP that relate to MAHs (Fortsetzung)</w:t>
      </w:r>
    </w:p>
    <w:p>
      <w:pPr>
        <w:pStyle w:val="Heading2"/>
      </w:pPr>
      <w:r>
        <w:t>Example 2 - ASMFs and CEPs</w:t>
      </w:r>
    </w:p>
    <w:p>
      <w:r>
        <w:t>Another area of importance in relation to communication processes and responsibilities is where there is an Active Substance Master File (ASMF) registered for a marketing authorisation which has both closed and open parts, or where a Certificate of Suitability to the monographs of the European Pharmacopoeia (CEP) is registered (or applied for) in the MA. (Note: the information in the CEP replaces those MA dossier sections that normally describe the manufacture and control during manufacture of the active substance (as well as stability data, in cases where the CEP includes a retest date). Such CEP information will have been evaluated by the European Directorate for the Quality of Medicines (EDQM).)</w:t>
      </w:r>
    </w:p>
    <w:p>
      <w:r>
        <w:t>These approaches are covered by Directive 2001/83/EC and Regulation 2019/6, as follows:</w:t>
      </w:r>
    </w:p>
    <w:p>
      <w:r>
        <w:t>With regard to medicinal products for human use:</w:t>
      </w:r>
    </w:p>
    <w:p>
      <w:r>
        <w:t>- “For a well-defined active substance, the active substance manufacturer or the applicant may arrange for the (i) detailed description of the manufacturing process, (ii) quality control during manufacture, and (iii) process validation, to be supplied in a separate document directly to the competent authorities by the manufacturer of the active substance as an Active Substance Master File. In this case, the manufacturer shall, however, provide the applicant with all of the data, which may be necessary for the latter to take responsibility for the medicinal product. The manufacturer shall confirm in writing to the applicant that he shall ensure batch to batch consistency and not modify the manufacturing process or specifications without informing the applicant. Documents and particulars supporting the application for such a change shall be supplied to the competent authorities; these documents and particulars will be also supplied to the applicant when they concern the open part of the active substance master file” (Ref. Directive 2001/83/EC, Annex 1).</w:t>
      </w:r>
    </w:p>
    <w:p>
      <w:r>
        <w:t>- “Where the active substance and/or a raw and starting material or excipient(s) are the subject of a monograph of the European Pharmacopoeia, the applicant can apply for a certificate of suitability that, where granted by the European Directorate for the Quality of Medicines, shall be presented in the relevant section of this Module (i.e. Module 3). Those certificates of suitability of the monograph of the European Pharmacopoeia are deemed to replace the relevant data of the corresponding sections described in this Module. The manufacturer shall give the assurance in writing to the applicant that the manufacturing process has not been modified since the granting of the certificate of suitability by the European Directorate for the Quality of Medicines” (Ref. Directive 2001/83/EC, Annex I)</w:t>
      </w:r>
    </w:p>
    <w:p>
      <w:r>
        <w:t>With regard to medicinal products for veterinary use:</w:t>
      </w:r>
    </w:p>
    <w:p>
      <w:r>
        <w:t>- “For a non-biological active substance, the applicant may arrange for the information on active substance in point (2) to be supplied directly to the competent authorities by the manufacturer of the active substance as an Active Substance Master File. In this case, the manufacturer of the active substance shall provide the applicant with all the data (applicant’s part of the Active Substance Master File) which may be necessary for the latter to take responsibility for the veterinary medicinal product. A copy of the data provided by the active substance manufacturer to the applicant shall be included in the medicinal product dossier. The manufacturer of the active substance shall confirm in writing to the applicant that he shall ensure batch-to-batch consistency and not modify the manufacturing process or specifications without informing the applicant.” (Ref. Regulation 2019/6 Annex II)</w:t>
      </w:r>
    </w:p>
    <w:p>
      <w:r>
        <w:t>- “Where a certificate of suitability has been issued by the European Directorate for the Quality of Medicines and HealthCare for a starting material, active substance or excipient, that certificate constitutes the reference to the relevant monograph of the European Pharmacopoeia. Where a certificate of suitability is referred to, the manufacturer shall give an assurance in writing to the applicant that the manufacturing process has not been modified since the granting of the certificate of suitability by the European Directorate for the Quality of Medicines and HealthCare.“ (Regulation 2019/6 Annex II)</w:t>
      </w:r>
    </w:p>
    <w:p>
      <w:r>
        <w:t>It is important to note that, irrespective of whether an ASMF or a CEP is in place, the MAH retains his responsibility for ensuring the quality of the active substance. In this regard, the following points should be noted:</w:t>
      </w:r>
    </w:p>
    <w:p>
      <w:r>
        <w:t>• The MAH is responsible for ensuring, that it, in conjunction with the finished product manufacturer, has access to all relevant information concerning the current manufacture of the active substance. This requires effective communication processes to be in place between the concerned parties in relation to the manufacture of the active substance. It is expected that the MA applicant/ MAH have access to the open part (or its equivalent) of the ASMF, including when a CEP is used. In the case of an aseptically manufactured active substance, full information on the sterilization step needs to be made available to the finished product manufacturer and should be included in Module 3/Part II of the MA dossier. The MA applicant/MAH should ensure that they have access to all the relevant information.</w:t>
      </w:r>
    </w:p>
    <w:p>
      <w:r>
        <w:t>• Such communication processes should also address proposed changes in the manufacturing process or specifications, to enable the MAH to assess the implications of the proposed change on the finished product and to apply for any required variations to the MA, in accordance with the EU Variation Classification Guideline.</w:t>
      </w:r>
    </w:p>
    <w:p>
      <w:r>
        <w:t>• In addition, if a CEP for an active substance is registered in an MA, this does not exempt the MAH from the responsibility to have available a declaration of GMP (signed by the Qualified Person) relating to the GMP compliance status of the active substance manufacturer. See the earlier text in this Reflection Paper for information on QP Declarations.</w:t>
      </w:r>
    </w:p>
    <w:p>
      <w:r>
        <w:t>• The level of knowledge that the MAH has in relation to the manufacture and control of the active substance should be such that it permits the MAH to take responsibility for the quality of the medicinal product. This should not be less than when there is an ASMF registered in the MA.</w:t>
      </w:r>
    </w:p>
    <w:p>
      <w:r>
        <w:t>In order for the MAH (or applicant) to be able to fulfil the responsibilities referred to above, it is considered that he should ensure that the above requirements are clearly addressed, and if necessary via a technical agreement between the MAH and the active substance manufacturer.</w:t>
      </w:r>
    </w:p>
    <w:p>
      <w:pPr>
        <w:pStyle w:val="Heading1"/>
      </w:pPr>
      <w:r>
        <w:t>5. Areas of the EC Guide to GMP that relate to MAHs (Fortsetzung)</w:t>
      </w:r>
    </w:p>
    <w:p>
      <w:pPr>
        <w:pStyle w:val="Heading2"/>
      </w:pPr>
      <w:r>
        <w:t>Example 3 – Documentation reflecting what is registered is the MA</w:t>
      </w:r>
    </w:p>
    <w:p>
      <w:r>
        <w:t>A third example is found in Chapter 4 of the GMP Guide, in relation to Documentation. It states that “Documents should be designed, prepared, reviewed, and distributed with care. They should comply with the relevant parts of Product Specification Files, Manufacturing and Marketing Authorisation dossiers, as appropriate. The reproduction of working documents from master documents should not allow any error to be introduced through the reproduction process” (Ref. GMP Guide Chapter 4, Paragraph 4.2).</w:t>
      </w:r>
    </w:p>
    <w:p>
      <w:r>
        <w:t>This implies a responsibility for the MAH to ensure that any documents that it provides to the manufacturing sites relating to what is registered in the MA accurately reflect the relevant parts of the MA.</w:t>
      </w:r>
    </w:p>
    <w:p>
      <w:r>
        <w:t>• Examples of such documents might include the release and shelf-life specifications for the product, information in relation to the registered manufacturing process, copies of the registered artwork for the product packaging, etc.</w:t>
      </w:r>
    </w:p>
    <w:p>
      <w:r>
        <w:t>• It is especially important that documents relating the registered product information intended for the patient or user of the medicine (i.e. labels and leaflets) are in line with the marketing authorisation, and that changes (variations) to these items are communicated to the manufacturing site in a timely manner.</w:t>
      </w:r>
    </w:p>
    <w:p>
      <w:pPr>
        <w:pStyle w:val="Heading1"/>
      </w:pPr>
      <w:r>
        <w:t>5. Areas of the EC Guide to GMP that relate to MAHs (Fortsetzung)</w:t>
      </w:r>
    </w:p>
    <w:p>
      <w:pPr>
        <w:pStyle w:val="Heading2"/>
      </w:pPr>
      <w:r>
        <w:t>The Effectiveness and Frequency of Communications:</w:t>
      </w:r>
    </w:p>
    <w:p>
      <w:r>
        <w:t>It is considered that there should be effective and frequent communications between the MAH and the relevant manufacturing sites. This is not just in relation to what is registered in the MA, but also, it might concern the results of Product Quality Reviews (PQRs), information about regulatory commitments, proposed changes which may affect Modules 1, 2 and 3 / Parts 1 and 2 of the MA, among other things.</w:t>
      </w:r>
    </w:p>
    <w:p>
      <w:pPr>
        <w:pStyle w:val="Heading1"/>
      </w:pPr>
      <w:r>
        <w:t>5. Areas of the EC Guide to GMP that relate to MAHs (Fortsetzung)</w:t>
      </w:r>
    </w:p>
    <w:p>
      <w:pPr>
        <w:pStyle w:val="Heading2"/>
      </w:pPr>
      <w:r>
        <w:t>Documenting Communication Processes – Complexity and Legal Arrangements:</w:t>
      </w:r>
    </w:p>
    <w:p>
      <w:r>
        <w:t>How such communication processes and responsibilities may be documented depends on the relationship between the various entities, and on the complexity of the arrangements that may be in place. Complexity in relation to the supply chain is particularly important to consider when determining what communication processes need to be in place – this can relate to the number and type of different manufacturers in the supply chain, the degree of outsourcing that is in place, the geographic spread of the various actors in the supply chain, etc.</w:t>
      </w:r>
    </w:p>
    <w:p>
      <w:r>
        <w:t>In cases where the MAH and the manufacturer are part of the same overall group of companies, it may be sufficient to document, using SOPs, how the actual communication processes are expected to work. This is as long as those SOPs are approved by both parties and as long as they are referred to within the technical agreement between the parties. In other situations, where the MAH and the manufacturer are not part of the same overall group of companies, the communication processes and responsibilities should be documented in technical agreements or in contracts, as they may be more complex and at a higher risk of failing.</w:t>
      </w:r>
    </w:p>
    <w:p>
      <w:r>
        <w:t>The two-way flow of information between the parties is important, especially in the context of proposed changes which may require variation applications or regulatory notifications to the competent authority by the MAH. This is also the case with regard to suspected quality defects and potential recall issues which may have been reported to one or other party, but not to both, and which may need to be reported onwards to the competent authority. See also section 5.5.4 in relation to Quality defects with investigational medicinal products.</w:t>
      </w:r>
    </w:p>
    <w:p>
      <w:pPr>
        <w:pStyle w:val="Heading1"/>
      </w:pPr>
      <w:r>
        <w:t>5. Areas of the EC Guide to GMP that relate to MAHs (Fortsetzung)</w:t>
      </w:r>
    </w:p>
    <w:p>
      <w:pPr>
        <w:pStyle w:val="Heading2"/>
      </w:pPr>
      <w:r>
        <w:t>Life-cycle Considerations:</w:t>
      </w:r>
    </w:p>
    <w:p>
      <w:r>
        <w:t>Communication processes and systems should be maintained with care, extending over the product life-cycle (e.g. during the licensing procedure, commercial manufacture, the fulfilment of regulatory commitments, the submission and implementation of post-approval variations, etc.) or at least up until the end of the relationship between the concerned parties. The MAH should ensure that communication systems are in place which will enable it to keep abreast of all developments, changes and commitments relating to the specific product of concern.</w:t>
      </w:r>
    </w:p>
    <w:p>
      <w:pPr>
        <w:pStyle w:val="Heading1"/>
      </w:pPr>
      <w:r>
        <w:t>5. Areas of the EC Guide to GMP that relate to MAHs (Fortsetzung)</w:t>
      </w:r>
    </w:p>
    <w:p>
      <w:pPr>
        <w:pStyle w:val="Heading2"/>
      </w:pPr>
      <w:r>
        <w:t>Communications with the Competent Authorities – MA Variations:</w:t>
      </w:r>
    </w:p>
    <w:p>
      <w:r>
        <w:t>In relation to manufacturing-related MA variations, the MAH has a responsibility via Directive 2001/83/EC and Regulation 2019/6 to provide the competent authority with information on amendments relative to the information submitted in the dossier. The Directive states that “The marketing authorisation holder shall forthwith provide the national competent authority with any new information which might entail the amendment of the particulars or documents referred to in Article 8(3), Articles 10, 10a, 10b and 11, or Article 32(5), or Annex I” (Ref. Directive 2001/83/EC, Article 23 (2)). Similar provisions are referred to in the Veterinary regulation, Regulation 2019/6, via Article 8(b), 18(1); 18(2) 58 (3), (10), 35, 42 and 43 Some of these articles directly concern GMP-related information, such as Article 8(3) in Directive 2001/83/EC and Article 5 of Regulation 2019/6, which relates to, among other things, a description of the manufacturing method and the control methods employed by the manufacturer.</w:t>
      </w:r>
    </w:p>
    <w:p>
      <w:pPr>
        <w:pStyle w:val="Heading1"/>
      </w:pPr>
      <w:r>
        <w:t>5. Areas of the EC Guide to GMP that relate to MAHs (Fortsetzung)</w:t>
      </w:r>
    </w:p>
    <w:p>
      <w:pPr>
        <w:pStyle w:val="Heading2"/>
      </w:pPr>
      <w:r>
        <w:t>Communications relating to Product Supply:</w:t>
      </w:r>
    </w:p>
    <w:p>
      <w:r>
        <w:t>Robust and timely communications are important in other areas too, not only in ensuring the regulatory compliance status of the product in the marketplace. In relation to ensuring the continued supply of medicinal products for patients and animals, for example, communication processes between MAHs, manufacturers and national competent authorities can play a pivotal role. See Section 5.6 below for further information on this point.</w:t>
      </w:r>
    </w:p>
    <w:p>
      <w:pPr>
        <w:pStyle w:val="Heading1"/>
      </w:pPr>
      <w:r>
        <w:t>5. Areas of the EC Guide to GMP that relate to MAHs (Fortsetzung)</w:t>
      </w:r>
    </w:p>
    <w:p>
      <w:pPr>
        <w:pStyle w:val="Heading2"/>
      </w:pPr>
      <w:r>
        <w:t>Communications relating to Scientific Advances:</w:t>
      </w:r>
    </w:p>
    <w:p>
      <w:r>
        <w:t>Another area in which effective communication processes can be of significant importance is in the maintenance of MAs in line with scientific advances. Article 23 of Directive 2001/83/EC states that, “after an authorisation has been issued, the authorisation holder must, in respect of the methods of manufacture and control provided for in the application, take account of scientific and technical progress and introduce any changes that may be required to enable the medicinal product to be manufactured and checked by means of generally accepted scientific methods.” The Veterinary Regulation 2019/6, has similar wording, via Article 58.</w:t>
      </w:r>
    </w:p>
    <w:p>
      <w:r>
        <w:t>The above articles imply a responsibility of the MAH to have communication systems in place with manufacturing sites and other parties which will enable it to keep abreast of scientific and technical progress and advances and to discuss initiatives in this area. This is so that any necessary MA variations can be submitted. This is further discussed in section 5.7 below.</w:t>
      </w:r>
    </w:p>
    <w:p>
      <w:pPr>
        <w:pStyle w:val="Heading1"/>
      </w:pPr>
      <w:r>
        <w:t>5. Areas of the EC Guide to GMP that relate to MAHs (Fortsetzung)</w:t>
      </w:r>
    </w:p>
    <w:p>
      <w:pPr>
        <w:pStyle w:val="Heading2"/>
      </w:pPr>
      <w:r>
        <w:t>Communicating Changes to CTD Modules 1, 2 and 3 / Parts 1 and 2 of Veterinary Marketing</w:t>
      </w:r>
    </w:p>
    <w:p>
      <w:pPr>
        <w:pStyle w:val="Heading1"/>
      </w:pPr>
      <w:r>
        <w:t>5. Areas of the EC Guide to GMP that relate to MAHs (Fortsetzung)</w:t>
      </w:r>
    </w:p>
    <w:p>
      <w:pPr>
        <w:pStyle w:val="Heading2"/>
      </w:pPr>
      <w:r>
        <w:t>Authorisation dossier to the Manufacturing Sites:</w:t>
      </w:r>
    </w:p>
    <w:p>
      <w:r>
        <w:t>As CTD Modules 1, 2 and 3 / Parts 1 and 2 of the MA change over time with the approval of variations and with the introduction of continual improvements, etc., it can be a challenge to retain knowledge at both the MAH and at the manufacturer of what is registered at any one time.</w:t>
      </w:r>
    </w:p>
    <w:p>
      <w:r>
        <w:t>• In this regard, it is expected that the copies of these CTD Modules / Parts 1 and 2 as held by the MAH (and by the manufacturer, if applicable) are continually kept updated (by replacing individual documents or Sections within a Module with the updated versions) as changes are made to those documents or sections within that Module.</w:t>
      </w:r>
    </w:p>
    <w:p>
      <w:r>
        <w:t>• This results in always having up-to-date copies of Modules 1, 2 and 3 / Parts 1 and 2 available as a definitive record of what is registered.</w:t>
      </w:r>
    </w:p>
    <w:p>
      <w:r>
        <w:t>• It can help avoid the need to maintain multiple different documents and document repositories to capture what is registered at any point in time.</w:t>
      </w:r>
    </w:p>
    <w:p>
      <w:r>
        <w:t>• Having such ‘live’ versions of Modules 1, 2 and 3 / Parts 1 and 2 in place can also facilitate communications between the MAH and the manufacturer in relation to what is registered at any point in time.</w:t>
      </w:r>
    </w:p>
    <w:p>
      <w:pPr>
        <w:pStyle w:val="Heading1"/>
      </w:pPr>
      <w:r>
        <w:t>5. Areas of the EC Guide to GMP that relate to MAHs (Fortsetzung)</w:t>
      </w:r>
    </w:p>
    <w:p>
      <w:pPr>
        <w:pStyle w:val="Heading2"/>
      </w:pPr>
      <w:r>
        <w:t>5.4. Product Quality Reviews (PQRs)</w:t>
      </w:r>
    </w:p>
    <w:p>
      <w:r>
        <w:t>The area of product quality reviews is a topic that is of a direct relevance to MAHs. This is an area in which the GMP Guide is quite prescriptive, in relation to what is expected of the MAH. Chapter 1 of the Guide addresses this topic; and it states the following:</w:t>
      </w:r>
    </w:p>
    <w:p>
      <w:r>
        <w:t>“The manufacturer and, where different, marketing authorisation holder should evaluate the results of the review and an assessment made as to whether corrective and preventive action or any revalidation should be undertaken, under the Pharmaceutical Quality System. There should be management procedures for the ongoing management and review of these actions and the effectiveness of these procedures verified during self-inspection. Quality reviews may be grouped by product type, e.g. solid dosage forms, liquid dosage forms, sterile products, etc. where scientifically justified.” (Ref. Chapter 1, Paragraph 1.11). The GMP Guide goes on to state that “Where the marketing authorisation holder is not the manufacturer, there should be a technical agreement in place between the various parties that defines their respective responsibilities in producing the product quality review.” (Ref. Chapter 1, Paragraph 1.11).</w:t>
      </w:r>
    </w:p>
    <w:p>
      <w:r>
        <w:t>There are several important points in the above text which are useful to consider.</w:t>
      </w:r>
    </w:p>
    <w:p>
      <w:r>
        <w:t>• The first is a clear obligation on the MAH, when it is not the product manufacturer, to evaluate the results of the PQR and to make an assessment in relation to the need for corrective and preventive actions (CAPAs), and revalidation activities. The text requires both parties to do the above evaluation and assessment work.</w:t>
      </w:r>
    </w:p>
    <w:p>
      <w:r>
        <w:t>• The second is the importance that the GMP Guide places on this PQR evaluation and assessment work by both parties. This is evident from the requirement in Chapter 1 to apply oversight to those activities, and in two different ways –ongoing management review and self-inspection processes.</w:t>
      </w:r>
    </w:p>
    <w:p>
      <w:r>
        <w:t>• Lastly, it is clear from the reference to a technical agreement above that each party has responsibilities in relation to PQR activities. In the case of the MAH, the primary responsibility is to perform the PQR evaluation and assessment work that is referred to above.</w:t>
      </w:r>
    </w:p>
    <w:p>
      <w:r>
        <w:t>Given the importance that the GMP Guide attributes to the involvement of both parties in such work, it is not considered appropriate for the MAH to delegate its evaluation and assessment work to the manufacturer. There are several good and risk-based reasons for this.</w:t>
      </w:r>
    </w:p>
    <w:p>
      <w:r>
        <w:t>• Firstly, there is information to be included and evaluated in PQRs which may be spread across both parties, the MAH and the manufacturer, or primarily held by only one. This includes information concerning complaints (and their investigation), as well as quality-related returns, recalls, MA variations (in terms of their status – submitted, granted or refused), and postmarketing commitments.</w:t>
      </w:r>
    </w:p>
    <w:p>
      <w:r>
        <w:t>• Secondly, there are items to be reviewed in a PQR for which both parties may have had different roles. An example here is the product stability data. The MAH may have outsourced the storage and/or testing of the stability samples to a third party, such as a contract laboratory, which is not the product manufacturer, and the results of the testing may be sent to the MAH, and not directly to the manufacturer by the laboratory. In such a situation, the MAH would have an important role in ensuring that the relevant stability data are included in the PQR and that the data are subject to an adequate review.</w:t>
      </w:r>
    </w:p>
    <w:p>
      <w:r>
        <w:t>The evaluation and assessment of such PQR information by both parties (the MAH and the manufacturer) is important in another way too - it can help mitigate two key risks:</w:t>
      </w:r>
    </w:p>
    <w:p>
      <w:r>
        <w:t>a) The risk of producing PQRs which are incomplete and which are missing important signals, trends and learnings, and</w:t>
      </w:r>
    </w:p>
    <w:p>
      <w:r>
        <w:t>b) The risk of placing batches of a product on the market which are non-compliant with the requirements of the MA.</w:t>
      </w:r>
    </w:p>
    <w:p>
      <w:r>
        <w:t>For example, the MAH may have information which the manufacturer may not necessarily have about the required implementation date of a MA variation concerning the package leaflet, submitted to update the leaflet with certain new safety information about the product.</w:t>
      </w:r>
    </w:p>
    <w:p>
      <w:r>
        <w:t>The MAH’s evaluation and assessment work on the PQR is beneficial because it has the potential to verify compliance with the variation implementation requirements, not only via a review of the variations section of the PQR, but also via a review of the change control section. The manufacturer’s review gives a related opportunity, to review the status of approved product artwork-related MA variations which were listed in the PQR by the MAH.</w:t>
      </w:r>
    </w:p>
    <w:p>
      <w:r>
        <w:t>In order for an MAH to add value in relation to its PQR activities, it is considered that its role in relation to PQRs should be different from thoat of the manufacturer. It is recognised that PQRs are documents that are primarily generated by the product manufacturer, not the MAH. Most of the information and data that needs to be included and reviewed in a PQR is firmly in the realm of GMP, and usually resides at manufacturing sites, not at the MAHs. (This includes information relating to change controls, process deviations, rejected batches, critical in-process controls, etc.)</w:t>
      </w:r>
    </w:p>
    <w:p>
      <w:r>
        <w:t>There are several ways in which MAHs may add value in relation to PQRs:</w:t>
      </w:r>
    </w:p>
    <w:p>
      <w:r>
        <w:t>• The MAH can ensure that information that it holds which is relevant to the PQR is actually included in the PQR. This applies, for example, to information relating to product complaints, which the MAH may have received directly from the marketplace and which may not have been also been sent directly to the manufacturer, as well as information about product recalls, MA variations and other changes, as well as post-marketing commitments. The manufacturer may have some of the above information, but it may not possess all of it, and the MAH can ensure that the contents of the PQR report in these areas are complete.</w:t>
      </w:r>
    </w:p>
    <w:p>
      <w:r>
        <w:t>• The MAH can cross-check the information included in the PQR by the manufacturer against its own records, in order to check whether there are any gaps in the data held by the manufacturer which need to be addressed.</w:t>
      </w:r>
    </w:p>
    <w:p>
      <w:r>
        <w:t>• The MAH can review the change control section of the PQR to check that changes with a potential impact on regulatory compliance have been adequately managed.</w:t>
      </w:r>
    </w:p>
    <w:p>
      <w:r>
        <w:t>• The MAH can ensure that its evaluation of the results of the PQR is focussed on assessing the MA compliance status of the product during the review period, instead of focussing on areas for which the MAH may not have a high level of competency or expertise, such as in relation to analytical method changes, the adequacy of equipment-related corrective actions, and the qualification status of relevant equipment and utilities, e.g. HVAC (heating, ventilation and air conditioning), water, compressed gases, etc.</w:t>
      </w:r>
    </w:p>
    <w:p>
      <w:r>
        <w:t>Overall, an MAH’s involvement in PQR activities provides tangible benefits, and further information in this regard is presented in Section 5.7 below, in relation to Continual Improvement Activities.</w:t>
      </w:r>
    </w:p>
    <w:p>
      <w:r>
        <w:t>Experience has shown that, when MAHs are not involved in the evaluation and assessment of PQR data and reports, those PQRs appear to be at greater risk of not complying with the requirements of Chapter 1 of the GMP Guide, and, more importantly, batches in the marketplace may be at greater risk of having MA non-compliances associated with them.</w:t>
      </w:r>
    </w:p>
    <w:p>
      <w:pPr>
        <w:pStyle w:val="Heading1"/>
      </w:pPr>
      <w:r>
        <w:t>5. Areas of the EC Guide to GMP that relate to MAHs (Fortsetzung)</w:t>
      </w:r>
    </w:p>
    <w:p>
      <w:pPr>
        <w:pStyle w:val="Heading2"/>
      </w:pPr>
      <w:r>
        <w:t>5.5. Quality Defects, Complaints and Product Recalls</w:t>
      </w:r>
    </w:p>
    <w:p>
      <w:r>
        <w:t>Chapter 8 of the GMP Guide deals with the above topics. In many companies, the management of complaints, quality defects and recalls is performed centrally within the organisation, and Chapter 8 makes provision for this. It states that “the relative roles and responsibilities of the concerned parties should be documented” and that such central management “should not result in delays in the investigation and management of the issue.” (Ref. Chapter 8, Paragraph 8.4).</w:t>
      </w:r>
    </w:p>
    <w:p>
      <w:pPr>
        <w:pStyle w:val="Heading1"/>
      </w:pPr>
      <w:r>
        <w:t>5. Areas of the EC Guide to GMP that relate to MAHs (Fortsetzung)</w:t>
      </w:r>
    </w:p>
    <w:p>
      <w:pPr>
        <w:pStyle w:val="Heading2"/>
      </w:pPr>
      <w:r>
        <w:t>MAH Contact Person:</w:t>
      </w:r>
    </w:p>
    <w:p>
      <w:r>
        <w:t>It is considered that the MAH should be satisfied with the centralised arrangements that are in place for handling quality defects, such as within corporate quality groups or at manufacturing site(s). This includes arrangements regarding the contact persons who may communicate quality defect issues to the competent authorities (and the EMA in the case of products authorised via the Centralised Procedure.) Note that a Qualified Person may be designated by the MAH as the contact person. It is important to also note that the applicant/MAH is expected to have a dedicated responsible person to serve as a contact person for product defects and recalls in the post-authorisation phase – in this regard, the applicant/MAH is expected to provide information on its contact person in the MAapplication form (Ref. MA Application Form in Notice to Applicants Volume 2B, Article 6 of Regulation 726/2004, Annex I to Directive 2001/83/EC, Volume 6B of the Notice to Applicants, and Annex II of Regulation 6/2019.)</w:t>
      </w:r>
    </w:p>
    <w:p>
      <w:r>
        <w:t>Arrangements for Dealing with Quality Defects and Recalls:</w:t>
      </w:r>
    </w:p>
    <w:p>
      <w:r>
        <w:t>Chapter 8 places obligations on the MAH, the manufacturer and other parties to define and agree their respective roles and responsibilities with regard to quality defective medicinal products. In this context, the outsourcing of manufacturing and other activities is of relevance here, as outsourcing is often an activity in which the MAH is directly involved.</w:t>
      </w:r>
    </w:p>
    <w:p>
      <w:r>
        <w:t>Chapter 8 also recognises this, stating that “in case of outsourced activities, a contract should describe the role and responsibilities of the manufacturer, the marketing authorisation holder and/or sponsor and any other relevant third parties in relation to assessment, decision-making, and dissemination of information and implementation of risk-reducing actions relating to a defective product.” It clarifies that such contracts “should also address how to contact those responsible at each party for the management of quality defect and recall issues. (Ref. Chapter 8, Principle).</w:t>
      </w:r>
    </w:p>
    <w:p>
      <w:pPr>
        <w:pStyle w:val="Heading1"/>
      </w:pPr>
      <w:r>
        <w:t>5. Areas of the EC Guide to GMP that relate to MAHs (Fortsetzung)</w:t>
      </w:r>
    </w:p>
    <w:p>
      <w:pPr>
        <w:pStyle w:val="Heading2"/>
      </w:pPr>
      <w:r>
        <w:t>Notification of Quality Defects to Competent Authorities:</w:t>
      </w:r>
    </w:p>
    <w:p>
      <w:r>
        <w:t>There are obligations stated in Chapter 8 which relate to the notification of quality defects to the relevant competent authority, and these are linked with the requirement to notify competent authorities of potential supply restrictions and/or product recall as a consequence of quality defect issues. The MAH often has a direct interest in such notification processes, and it is named in Chapter 8 as a party to such notifications. Chapter 8 states that “Quality defects should be reported in a timely manner by the manufacturer to the marketing authorisation holder/sponsor and all concerned Competent Authorities in cases where the quality defect may result in the recall of the product or in an abnormal restriction in the supply of the product.” (Ref. Chapter 8, Paragraph 8.15).</w:t>
      </w:r>
    </w:p>
    <w:p>
      <w:pPr>
        <w:pStyle w:val="Heading1"/>
      </w:pPr>
      <w:r>
        <w:t>5. Areas of the EC Guide to GMP that relate to MAHs (Fortsetzung)</w:t>
      </w:r>
    </w:p>
    <w:p>
      <w:pPr>
        <w:pStyle w:val="Heading2"/>
      </w:pPr>
      <w:r>
        <w:t>Quality Defects with Investigational Medicinal Products:</w:t>
      </w:r>
    </w:p>
    <w:p>
      <w:r>
        <w:t>Chapter 8 also addresses situations in which quality defects may occur in investigational medicinal products, and these can also be of relevance to MAHs. The text here states that “In the case of an investigational medicinal product for which a marketing authorisation has been issued, the manufacturer of the investigational medicinal product should, in cooperation with the sponsor, inform the marketing authorisation holder of any quality defect that could be related to the authorised medicinal product.” (Ref. Chapter 8, Paragraph 8.24). This requirement is taken directly from Article 13 of GMP Directive 2003/94/EC for medicinal products and investigational medicinal products for human use, which carries almost identical wording. (Note that there is no equivalent article in the GMP Directive for veterinary medicines.)</w:t>
      </w:r>
    </w:p>
    <w:p>
      <w:pPr>
        <w:pStyle w:val="Heading1"/>
      </w:pPr>
      <w:r>
        <w:t>5. Areas of the EC Guide to GMP that relate to MAHs (Fortsetzung)</w:t>
      </w:r>
    </w:p>
    <w:p>
      <w:pPr>
        <w:pStyle w:val="Heading2"/>
      </w:pPr>
      <w:r>
        <w:t>Potentially Falsified Medicines &amp; Reporting Requirements:</w:t>
      </w:r>
    </w:p>
    <w:p>
      <w:r>
        <w:t>With regard to medicinal products for human use, the Falsified Medicines Directive (FMD), 2011/62/EU, discussed in detail in Section 6, placed specific reporting obligations on manufacturers in relation to products suspected of being falsified. This is relevant to the topic of quality defects, complaints and recalls, as falsified medicines are considered defective medicines and they can lead to recall actions.</w:t>
      </w:r>
    </w:p>
    <w:p>
      <w:r>
        <w:t>In amending Directive 2001/83/EC with the addition of Article 46 (g), the FMD Directive introduced a responsibility for the manufacturer to inform the competent authority and the MAH immediately of information which indicates that a medicinal product within the scope of its manufacturing authorisation is, or is suspected of being, falsified. (This is required irrespective of whether the medicinal product was distributed within the legal supply chain or by illegal means, including illegal sale via information society services.)</w:t>
      </w:r>
    </w:p>
    <w:p>
      <w:r>
        <w:t>The above responsibilities imply that the MAH should have a system in place to receive such quality defect and product falsification reports from manufacturers and it should be able to respond to them in a manner that is appropriate. This is also linked with the requirements of the EU pharmacovigilance legislation, by which the MAH is obliged to have systems in place to deal with adverse reaction reports.</w:t>
      </w:r>
    </w:p>
    <w:p>
      <w:pPr>
        <w:pStyle w:val="Heading1"/>
      </w:pPr>
      <w:r>
        <w:t>5. Areas of the EC Guide to GMP that relate to MAHs (Fortsetzung)</w:t>
      </w:r>
    </w:p>
    <w:p>
      <w:pPr>
        <w:pStyle w:val="Heading2"/>
      </w:pPr>
      <w:r>
        <w:t>Product Recall Management:</w:t>
      </w:r>
    </w:p>
    <w:p>
      <w:r>
        <w:t>The management of product recalls is a specific area of importance for the MAH to have robust procedures in. This is because the MAH is usually heavily involved in recall decision making with the national competent authorities and in the coordination of recalls, when they are required. Chapter 8 states that the “effectiveness of the arrangements in place for recalls should be periodically evaluated to confirm that they remain robust and fit for use.” It requires such evaluations to “extend to both within office-hour situations as well as out-of-office hour situations” and, when performing such evaluations, it requires consideration to be given “as to whether mock-recall actions should be performed.” It also requires such evaluations to be “documented and justified.” (Ref. Chapter 8, Paragraph 8.30). Each of these requirements is applicable to the MAH, given the MAH’s role in recall decision making, coordination and management, and it is important that the MAH has systems in place to deal with these activities.</w:t>
      </w:r>
    </w:p>
    <w:p>
      <w:pPr>
        <w:pStyle w:val="Heading1"/>
      </w:pPr>
      <w:r>
        <w:t>5. Areas of the EC Guide to GMP that relate to MAHs (Fortsetzung)</w:t>
      </w:r>
    </w:p>
    <w:p>
      <w:pPr>
        <w:pStyle w:val="Heading2"/>
      </w:pPr>
      <w:r>
        <w:t>Other Notification Responsibilities:</w:t>
      </w:r>
    </w:p>
    <w:p>
      <w:r>
        <w:t>Directive 2001/83/EC also contains provisions in this area that concern the MAH. Article 123 of the Directive, for example, places an obligation upon the MAH to “notify the Member States concerned forthwith of any action taken by the MAH to suspend the marketing of a medicinal product, to withdraw a medicinal product from the market, to request the withdrawal of a marketing authorisation or not to apply for the renewal of a marketing authorisation, together with the reasons for such action.” (Ref. Directive 2001/83/EC, Article 123).</w:t>
      </w:r>
    </w:p>
    <w:p>
      <w:r>
        <w:t>Note that, in relation to veterinary medicinal products, Regulation 2019/6 contains a similar (but not identical) provision. It states: “The marketing authorisation holder shall record in the product database the dates when its authorised veterinary medicinal products are placed on the market, information on the availability for each veterinary medicinal product in each relevant Member State and, as applicable, the dates of any suspension or revocation of the marketing authorisations concerned. […] The marketing authorisation holder shall without delay inform the competent authority which has granted the marketing authorisation or the Commission, as applicable, of any prohibition or restriction imposed by a competent authority or by an authority of a third country and of any other new information which might influence the assessment of the benefits and risks of the veterinary medicinal product concerned, including from the outcome of the signal management process carried out in accordance with Article 81. […] The marketing authorisation holder shall without delay inform the competent authority which has granted the marketing authorisation, or the Commission, as applicable, of any action which the holder intends to take in order to cease the marketing of a veterinary medicinal product prior to taking such action, together with the reasons for such action..” (Ref. Regulation 2019/6, Articles 58 (6), (10) and (13)).</w:t>
      </w:r>
    </w:p>
    <w:p>
      <w:r>
        <w:t>Article 123 of Directive 2001/83/EC also requires the MAH to declare if such action is based on any of the grounds set out in Article 116 or Article 117(1). These articles relate to situations in which a view is taken by Member States that “the medicinal product is harmful or that it lacks therapeutic efficacy, or that the risk-benefit balance is not favourable, or that its qualitative and quantitative composition is not as declared.” They also relate to situations in which “the controls on the medicinal product and/or on the ingredients and the controls at an intermediate stage of the manufacturing process have not been carried out or if some other requirement or obligation relating to the grant of the manufacturing authorisation has not been fulfilled.”</w:t>
      </w:r>
    </w:p>
    <w:p>
      <w:pPr>
        <w:pStyle w:val="Heading1"/>
      </w:pPr>
      <w:r>
        <w:t>5. Areas of the EC Guide to GMP that relate to MAHs (Fortsetzung)</w:t>
      </w:r>
    </w:p>
    <w:p>
      <w:pPr>
        <w:pStyle w:val="Heading2"/>
      </w:pPr>
      <w:r>
        <w:t>5.6. Maintenance of Supply of Medicinal Products</w:t>
      </w:r>
    </w:p>
    <w:p>
      <w:pPr>
        <w:pStyle w:val="Heading1"/>
      </w:pPr>
      <w:r>
        <w:t>5. Areas of the EC Guide to GMP that relate to MAHs (Fortsetzung)</w:t>
      </w:r>
    </w:p>
    <w:p>
      <w:pPr>
        <w:pStyle w:val="Heading2"/>
      </w:pPr>
      <w:r>
        <w:t>The MAH’s Obligation to Ensure Continued Supply:</w:t>
      </w:r>
    </w:p>
    <w:p>
      <w:r>
        <w:t>The EU medicines legislation, as well as the GMP Guide, place obligations upon the MAH that relate to the supply of its medicinal products and to the maintenance of such supply. For example, Article 81 of Directive 2001/83/EC states the following:</w:t>
      </w:r>
    </w:p>
    <w:p>
      <w:r>
        <w:t>“The holder of a marketing authorisation for a medicinal product and the distributors of the said medicinal product actually placed on the market in a Member State shall, within the limits of their responsibilities, ensure appropriate and continued supplies of that medicinal product to pharmacies and persons authorised to supply medicinal products so that the needs of patients in the Member State in question are covered.”</w:t>
      </w:r>
    </w:p>
    <w:p>
      <w:r>
        <w:t>For veterinary medicinal products, Regulation 2019/6 (Article 58 (2)) states the following: “The marketing authorisation holder shall, within the limits of its responsibilities, ensure appropriate and continued supplies of its veterinary medicinal products.”</w:t>
      </w:r>
    </w:p>
    <w:p>
      <w:r>
        <w:t>This directly relates to the avoidance of medicines shortages for patients and animals.</w:t>
      </w:r>
    </w:p>
    <w:p>
      <w:r>
        <w:t>It is considered that MAHs should also comply with any national requirements that may exist within the EEA in relation to maintaining product supply.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 III Reflection Paper GMP und Zulassungsinhaber (EN) (2 von 3) Kap 5 The Need for Two-way Communication</dc:title>
  <dc:subject>https://health.ec.europa.eu/document/download/c3bac13b-689e-4d01-8321-dbf088bb692a_en?filename=gmp_mah_rp_en.pdf</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