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(7 von 7) Anhang IX ECHTZEIT-FREIGABEPRÜFUNG</w:t>
      </w:r>
    </w:p>
    <w:p>
      <w:r>
        <w:t>Quelle: Amtsblatt der EU, CELEX 32025R2091, https://eur-lex.europa.eu/legal-content/DE/TXT/?uri=CELEX:32025R2091</w:t>
      </w:r>
    </w:p>
    <w:p>
      <w:pPr>
        <w:pStyle w:val="Heading1"/>
      </w:pPr>
      <w:r>
        <w:t>ANHANG IX ECHTZEIT-FREIGABEPRÜFUNG UND PARAMETRISCHE FREIGABE</w:t>
      </w:r>
    </w:p>
    <w:p>
      <w:pPr>
        <w:pStyle w:val="Heading2"/>
      </w:pPr>
      <w:r>
        <w:t>I. ECHTZEIT-FREIGABEPRÜFUNG</w:t>
      </w:r>
    </w:p>
    <w:p>
      <w:r>
        <w:t>— Durch die vorgeschlagene Echtzeitmessung und Kontrolle der relevanten Inprozess-Materialattribute und -Prozessparameter müssen die entsprechenden Attribute des Fertigprodukts genau prognostiziert werden können.</w:t>
      </w:r>
    </w:p>
    <w:p>
      <w:r>
        <w:t>— Es ist wissenschaftlich nachzuweisen, dass die Kombination der relevanten bewerteten Materialattribute und Prozesskontrollen, die die Prüfung des Endprodukts ersetzen sollen, geeignet ist.</w:t>
      </w:r>
    </w:p>
    <w:p>
      <w:r>
        <w:t>— Die kombinierten Prozessmessungen (Prozessparameter und Materialattribute) und alle anderen während des Herstellungsprozesses generierten Prüfdaten müssen eine solide Grundlage für die Entscheidung über die Chargenfreigabe bilden.</w:t>
      </w:r>
    </w:p>
    <w:p>
      <w:r>
        <w:t>a) Personal: Die Durchführung von Echtzeit-Freigabeprüfungen erfordert die Involvierung eines funktionsübergreifenden/multidisziplinären Teams mit einschlägiger Erfahrung auf Gebieten wie Technik, Analytik, chemometrische Modellierung oder Statistik.</w:t>
      </w:r>
    </w:p>
    <w:p>
      <w:r>
        <w:t>b) Kontrollstrategie: Bei der Durchführung von Echtzeit-Freigabeprüfungen ist es von entscheidender Bedeutung, die Stabilität der während des Herstellungsprozesses angewandten Kontrollen und ihre Eignung zu gewährleisten, um die Qualität des Produkts und eine gleichbleibende Produktion sicherzustellen. Die Kontrollstrategie wird über den gesamten Lebenszyklus unter Berücksichtigung der erworbenen Kenntnisse und im Einklang mit den Grundsätzen des Qualitätsrisikomanagements angepasst.</w:t>
      </w:r>
    </w:p>
    <w:p>
      <w:r>
        <w:t>c) Änderungsmanagement: Die in Artikel 26 Absatz 3 festgelegten Anforderungen sind bei der Durchführung von Echtzeit-Freigabeprüfungen besonders relevant.</w:t>
      </w:r>
    </w:p>
    <w:p>
      <w:r>
        <w:t>d) Validierungs- und Qualifizierungspolitik: Die Qualifizierung und Validierung von Analysemethoden innerhalb und außerhalb der Prozesslinie ist bei der Implementierung von Echtzeit-Freigabeprüfungen besonders wichtig, insbesondere wenn fortschrittliche Analysemethoden angewandt werden. Besondere Aufmerksamkeit ist der Stelle in der Herstellungsausrüstung zu widmen, an dem sich die Probenahmesonde befindet;</w:t>
      </w:r>
    </w:p>
    <w:p>
      <w:r>
        <w:t>e) jegliche Abweichungen und Prozessfehler sind gründlich zu untersuchen und etwaige negative Trends, die auf eine Änderung des Kontrollzustands des Prozesses, der Ausrüstung oder der Einrichtungen hindeuten, sind angemessen nachzuverfolgen;</w:t>
      </w:r>
    </w:p>
    <w:p>
      <w:r>
        <w:t>f) es ist wichtig, über den gesamten Lebenszyklus eines Produkts hinweg ein kontinuierliches Lernen durch Datenerhebung und -analyse sicherzustellen. Die Hersteller müssen Daten (einschließlich Datentrends) wissenschaftlich bewerten, um Möglichkeiten der Verbesserung von Qualität und/oder Konsistenz zu prüfen. Für die Umsetzung von Änderungen gilt Artikel 26 Absatz 3.</w:t>
      </w:r>
    </w:p>
    <w:p>
      <w:pPr>
        <w:pStyle w:val="Heading2"/>
      </w:pPr>
      <w:r>
        <w:t>II. PARAMETRISCHE FREIGABE</w:t>
      </w:r>
    </w:p>
    <w:p>
      <w:r>
        <w:t>ELI: http://data.europa.eu/eli/reg_impl/2025/2091/oj</w:t>
      </w:r>
    </w:p>
    <w:p>
      <w:r>
        <w:t>ISSN 1977-0642 (electronic edition)</w:t>
      </w:r>
    </w:p>
    <w:p>
      <w:pPr>
        <w:pStyle w:val="Heading2"/>
      </w:pPr>
      <w:r>
        <w:t>Fußnoten</w:t>
      </w:r>
    </w:p>
    <w:p>
      <w:r>
        <w:t>Fußnote (1) ABl. L 4 vom 7.1.2019, S. 43, ELI: http://data.europa.eu/eli/reg/2019/6/oj.</w:t>
      </w:r>
    </w:p>
    <w:p>
      <w:r>
        <w:t>Fußnote (2) Richtlinie 2001/82/EG des Europäischen Parlaments und des Rates vom 6. November 2001 zur Schaffung eines Gemeinschaftskodexes für Tierarzneimittel (ABl. L 311 vom 28.11.2001, S. 1, ELI: http://data.europa.eu/eli/dir/2001/82/oj).</w:t>
      </w:r>
    </w:p>
    <w:p>
      <w:r>
        <w:t>Fußnote (3) Verordnung (EU) Nr. 910/2014 des Europäischen Parlaments und des Rates vom 23. Juli 2014 über elektronische Identifizierung und Vertrauensdienste für elektronische Transaktionen im Binnenmarkt und zur Aufhebung der Richtlinie 1999/93/EG (ABl. L 257 vom 28.8.2014, S. 73, ELI: http://data.europa.eu/eli/reg/2014/910/oj).</w:t>
      </w:r>
    </w:p>
    <w:p>
      <w:r>
        <w:t>Fußnote (1) Für die Zwecke dieses Anhangs bezeichnet der Ausdruck „Barrieresystem mit beschränktem Zugang“ ein System, das eine geschlossene, aber nicht vollständig abgedichtete Umgebung bereitstellt, die die festgelegten Bedingungen der Luftqualität erfüllt und bei der eine Umschließung mit einer starren Wand sowie integrierte Handschuhe verwendet werden, um den Innenraum von der umgebenden Reinraumumgebung abzuschließen. Die Innenflächen der RABS werden mit einem sporiziden Mittel desinfiziert und dekontaminiert. Das Bedienungspersonal verwendet Handschuhe, Halbanzüge, Schnelltransfersysteme/-anschlüsse und andere integrierte Transferanschlüsse, um Arbeiten durchzuführen oder Materialien in das Innere der RABS zu befördern. Je nach Auslegung werden Türen nur selten und nur unter vorher genau festgelegten Bedingungen geöffnet.</w:t>
      </w:r>
    </w:p>
    <w:p>
      <w:r>
        <w:t>Fußnote (2) Für die Zwecke dieses Anhangs bezeichnet der Ausdruck „kritische Zone“ einen Raum innerhalb des aseptischen Verarbeitungsbereichs, in dem das Produkt und kritische Oberflächen der Umgebung ausgesetzt sind.</w:t>
      </w:r>
    </w:p>
    <w:p>
      <w:r>
        <w:t>Fußnote (3) Für die Zwecke dieses Anhangs bezeichnet der Ausdruck „Erstluft“ (first air) gefilterte Luft, die vor dem Kontakt mit dem exponierten Produkt und den Produktkontaktflächen nicht unterbrochen wurde.</w:t>
      </w:r>
    </w:p>
    <w:p>
      <w:r>
        <w:t>Fußnote (4) Für die Zwecke dieses Anhangs bezeichnet der Ausdruck „unidirektionaler Luftstrom“ einen Luftstrom, der sich in einer einzigen Richtung auf stabile und gleichmäßige Weise und mit ausreichender Geschwindigkeit bewegt, um Partikel reproduzierbar aus dem kritischen Verarbeitungs- oder Prüfbereich zu entfernen.</w:t>
      </w:r>
    </w:p>
    <w:p>
      <w:r>
        <w:t>Fußnote (5) Für die Zwecke dieses Anhangs bezeichnet der Ausdruck „Personalschleuse“ einen Bereich mit zunehmender Reinheit, der für den Zugang von Personal genutzt wird (z. B. vom Bereich der Klasse D zum Bereich der Klasse C oder vom Bereich der Klasse C zum Bereich der Klasse B).</w:t>
      </w:r>
    </w:p>
    <w:p>
      <w:r>
        <w:t>Fußnote (6) Für die Zwecke dieses Anhangs bezeichnet der Ausdruck „Materialschleuse“ einen Bereich, der für den Transfer von Materialien und Ausrüstung genutzt wird.</w:t>
      </w:r>
    </w:p>
    <w:p>
      <w:r>
        <w:t>Fußnote (7) Für die Zwecke dieses Anhangs bezeichnet der Ausdruck „turbulenter Luftstrom“ einen nicht in einer Richtung verlaufenden Luftstrom. Turbulente Luftströme in Reinräumen müssen durch eine Mischstromverteilung den Reinraum durchspülen und eine annehmbare Luftqualität aufrechterhalten.</w:t>
      </w:r>
    </w:p>
    <w:p>
      <w:r>
        <w:t>Fußnote (8) Für die Zwecke dieses Anhangs bezeichnet der Ausdruck „Einheit mit unidirektionalem Luftstrom“ einen Schrank, der mit einem gefilterten unidirektionalen Luftstrom versorgt wird. Der Ausdruck ist gleichbedeutend mit „Einheit mit laminarem Luftstrom“.</w:t>
      </w:r>
    </w:p>
    <w:p>
      <w:r>
        <w:t>Fußnote (9) Es wird darauf hingewiesen, dass die Qualifizierung von Reinräumen ein anderer Prozess als die Umgebungsüberwachung ist.</w:t>
      </w:r>
    </w:p>
    <w:p>
      <w:r>
        <w:t>Fußnote (10) Eine Klassifizierung, die Partikel von 5 μm umfasst, kann gegebenenfalls im Einklang mit der Strategie zur Kontaminationskontrolle oder historischen Trends in Betracht gezogen werden.</w:t>
      </w:r>
    </w:p>
    <w:p>
      <w:r>
        <w:t>Fußnote (11) Für Klasse D sind keine Betriebsgrenzwerte vordefiniert. Der Hersteller muss auf der Grundlage einer Risikobewertung und gegebenenfalls routinemäßig erhobener Daten einschlägige Betriebsgrenzwerte festlegen.</w:t>
      </w:r>
    </w:p>
    <w:p>
      <w:r>
        <w:t>Fußnote (12) Für die Zwecke dieses Anhangs bezeichnet der Ausdruck „koloniebildende Einheit“ oder „KBE“ eine einzelne nachweisbare Kolonie, die von einem oder mehreren Mikroorganismen stammt. Koloniebildende Einheiten werden in der Regel als KBE pro ml für flüssige Proben, KBE pro m 3 für Luftproben und KBE pro Probe für Proben auf festen Medien wie Sedimentations- oder Abklatschplatten angegeben.</w:t>
      </w:r>
    </w:p>
    <w:p>
      <w:r>
        <w:t>Fußnote (13) Die Sedimentationsplatten müssen während der gesamten Dauer der Arbeitsvorgänge exponiert sein und bei Bedarf nach maximal vier Stunden gewechselt werden. Die Expositionszeit muss auf der Grundlage von Untersuchungen zur Rückgewinnung festgelegt werden und darf nicht zum Austrocknen des verwendeten Mediums führen.</w:t>
      </w:r>
    </w:p>
    <w:p>
      <w:r>
        <w:t>Fußnote (14) Für die Zwecke dieses Anhangs bezeichnet der Ausdruck „isokinetische Probenahmesonde“ eine Probenahmesonde, die so konstruiert ist, dass die Luft so wenig wie möglich gestört wird, sodass dieselben Partikel in die Düse gelangen, die auch ohne die Düse diesen Bereich passiert hätten (d. h. die Probenahmebedingungen, bei denen die mittlere Geschwindigkeit der in den Einlass der Probenahmesonde eintretenden Luft nahezu gleich (± 20 %) der mittleren Geschwindigkeit des Luftstroms an dieser Stelle ist).</w:t>
      </w:r>
    </w:p>
    <w:p>
      <w:r>
        <w:t>Fußnote (15) Für die Zwecke dieses Anhangs bezeichnet der Ausdruck „Wassersystem“ ein System zur Erzeugung, Speicherung und Verteilung von Wasser, das in der Regel einem bestimmten Arzneibuchstandard entspricht (z. B. gereinigtes Wasser und Wasser für Injektionszwecke).</w:t>
      </w:r>
    </w:p>
    <w:p>
      <w:r>
        <w:t>Fußnote (16) Für die Zwecke dieses Anhangs bezeichnet „Totraum“ einen Abschnitt einer nicht zirkulierenden Rohrleitung (in dem Flüssigkeit stehen bleiben kann), der größer ist als das Dreifache des Rohrinnendurchmessers.</w:t>
      </w:r>
    </w:p>
    <w:p>
      <w:r>
        <w:t>Fußnote (17) Für die Zwecke dieses Anhangs bezeichnet der Ausdruck „Sterilfilter“ einen Filter, mit dem bei angemessener Validierung eine definierte mikrobielle Belastung aus einer Flüssigkeit oder einem Gas entfernt werden kann, sodass ein steriler Ausfluss entsteht. In der Regel haben solche Filter eine Porengröße von höchstens 0,22 μm.</w:t>
      </w:r>
    </w:p>
    <w:p>
      <w:r>
        <w:t>Fußnote (18) Für die Zwecke dieses Anhangs bezeichnet der Ausdruck „Endsterilisation“ die Anwendung eines letalen Sterilisationsmittels oder letaler Sterilisationsbedingungen auf ein Produkt in seinem Endbehältnis, um ein festgelegtes Sterilitätssicherheitsniveau von 10 &amp;#x2013;6 oder darunter zu erreichen (d. h. die theoretische Wahrscheinlichkeit, dass ein einziger lebensfähiger Mikroorganismus auf oder in einer sterilisierten Einheit vorhanden ist, beträgt höchstens 1 × 10 &amp;#x2013;6).</w:t>
      </w:r>
    </w:p>
    <w:p>
      <w:r>
        <w:t>Fußnote (19) Für die Zwecke dieses Anhangs bezeichnet der Ausdruck „kritischer Eingriff“ einen Eingriff in der kritischen Zone.</w:t>
      </w:r>
    </w:p>
    <w:p>
      <w:r>
        <w:t>Fußnote (20) Für die Zwecke dieses Anhangs bezeichnet der Ausdruck „intrinsisch sterile Verbindungsvorrichtung“ eine Vorrichtung, die das Kontaminationsrisiko während des Verbindungsvorgangs verringert; sie kann mechanisch oder durch Verschmelzen versiegelt sein.</w:t>
      </w:r>
    </w:p>
    <w:p>
      <w:r>
        <w:t>Fußnote (21) Für die Zwecke dieses Anhangs bezeichnet der Ausdruck „inhärente Eingriffe“ Eingriffe, die fester Bestandteil des aseptischen Prozesses sind und für die Einrichtung, den Routinebetrieb oder die Überwachung erforderlich sind (z. B. aseptische Montage, Auffüllung von Behältnissen, Umgebungsprobenahme) und die in den einschlägigen Standardarbeitsanweisungen/Arbeitsanweisungen vorgesehen sind.</w:t>
      </w:r>
    </w:p>
    <w:p>
      <w:r>
        <w:t>Fußnote (22) Für die Zwecke dieses Anhangs bezeichnet der Ausdruck „kritische Oberfläche“ eine Oberfläche, die direkt mit einem Produkt oder dessen Behältnissen oder Verschlüssen in Berührung kommen oder sich auf andere Weise unmittelbar auf deren Sterilität/Kontaminationsfreiheit auswirken kann.</w:t>
      </w:r>
    </w:p>
    <w:p>
      <w:r>
        <w:t>Fußnote (23) Für die Zwecke dieses Anhangs bezeichnet der Ausdruck „Luftversorgung der Klasse A“ Luft, die durch einen Filter geleitet wurde, der für die Erzeugung einer Luftqualität der Klasse A hinsichtlich der Gesamtpartikelzahl qualifiziert ist, wobei jedoch keine Anforderung an eine kontinuierliche Überwachung der Gesamtpartikelzahl oder die Einhaltung von Überwachungsgrenzwerten der Klasse A für lebensfähige Partikel besteht.</w:t>
      </w:r>
    </w:p>
    <w:p>
      <w:r>
        <w:t>Fußnote (24) Für die Zwecke dieses Anhangs bezeichnet der Ausdruck „terminale Hitzebehandlung nach der aseptischen Verarbeitung“ einen terminalen Prozess mit feuchter Hitze, der nach der aseptischen Verarbeitung durchgeführt wird und nachweislich ein Sterilitätssicherheitsniveau von ≤ 10 -6 gewährleistet, bei dem jedoch die Anforderungen an die Dampfsterilisation (z. B. F 0 ≥ 8 min) nicht erfüllt sind. Dies kann auch zur Abtötung von Viren beitragen, die durch Filtration nicht entfernt werden können.</w:t>
      </w:r>
    </w:p>
    <w:p>
      <w:r>
        <w:t>Fußnote (25) Für die Zwecke dieses Anhangs bezeichnet der Ausdruck „biologische Indikatoren“ eine Population von Mikroorganismen, die auf ein geeignetes Medium (z. B. Lösung, Behältnis oder Verschluss) aufgebracht und in einen Sterilisator, eine Beladung oder einen Raum gegeben werden, um die Wirksamkeit des Sterilisations- oder Desinfektionszyklus eines physikalischen oder chemischen Prozesses zu bestimmen. Der Testmikroorganismus muss anhand seiner Resistenz gegenüber dem jeweiligen Prozess ausgewählt und validiert werden. Der D-Wert, die mikrobiologische Zählung und die Reinheit der eingehenden Charge bestimmen die Qualität des biologischen Indikators.</w:t>
      </w:r>
    </w:p>
    <w:p>
      <w:r>
        <w:t>Fußnote (26) Für die Zwecke dieses Anhangs bezeichnet der Ausdruck „D-Wert“ den Wert eines Sterilisationsparameters (Dauer oder absorbierte Dosis), der erforderlich ist, um die Anzahl der lebensfähigen Organismen auf 10 % der ursprünglichen Anzahl zu reduzieren.</w:t>
      </w:r>
    </w:p>
    <w:p>
      <w:r>
        <w:t>Fußnote (27) Für die Zwecke dieses Anhangs bezeichnet der Ausdruck „Z-Wert“ den Temperaturunterschied, der zu einer Änderung des D-Werts der biologischen Indikatoren um den Faktor 10 führt.</w:t>
      </w:r>
    </w:p>
    <w:p>
      <w:r>
        <w:t>Fußnote (28) Für die Zwecke dieses Anhangs bezeichnet der Ausdruck „Rapid-Transfer-System/-Port“ ein System, das für die Verbringung von Gegenständen in RABS oder Isolatoren verwendet wird und das Risiko für die kritische Zone minimiert. Ein Beispiel wäre ein Rapid-Transfer-Behältnis mit einem Alpha-/Beta-Port.</w:t>
      </w:r>
    </w:p>
    <w:p>
      <w:r>
        <w:t>Fußnote (29) Für die Zwecke dieses Anhangs bezeichnet der Ausdruck „Äquilibrierungszeit“ die Zeit, die zwischen dem Erreichen der Sterilisationstemperatur am Referenz-Messpunkt und dem Erreichen der Sterilisationstemperatur an allen Punkten innerhalb der Beladung liegt.</w:t>
      </w:r>
    </w:p>
    <w:p>
      <w:r>
        <w:t>Fußnote (30) Für die Zwecke dieses Anhangs bezeichnet der Ausdruck „F 0 -Wert“ die Letalität, ausgedrückt als Äquivalenzzeit in Minuten bei der Referenztemperatur, mit der das Verfahren auf das Sterilisiergut einwirkt, unter Bezugnahme auf Mikroorganismen mit dem entsprechenden theoretischen z-Wert.</w:t>
      </w:r>
    </w:p>
    <w:p>
      <w:r>
        <w:t>Fußnote (31) Für die Zwecke dieses Anhangs bezeichnet der Ausdruck „F h -Wert“ die Letalität, ausgedrückt als Äquivalenzzeit in Minuten bei der Referenztemperatur, mit der das Verfahren auf das Sterilisiergut einwirkt, unter Bezugnahme auf Mikroorganismen mit dem entsprechenden theoretischen z-Wert.</w:t>
      </w:r>
    </w:p>
    <w:p>
      <w:r>
        <w:t>Fußnote (32) Für die Zwecke dieses Anhangs bezeichnet der Ausdruck „Prüfung der Bakterienrückhaltung“ einen Test, der durchgeführt wird, um zu bestätigen, dass ein Filter Bakterien aus einem Gas oder einer Flüssigkeit entfernen kann. Der Test wird in der Regel mit einem Standardorganismus wie Brevundimonas diminuta mit einer Mindestkonzentration von 10 7 koloniebildenden Einheiten/cm 2 durchgeführt.</w:t>
      </w:r>
    </w:p>
    <w:p>
      <w:r>
        <w:t>Fußnote (33) Für die Zwecke dieses Anhangs bezeichnet der Ausdruck „Form-Fill-Seal“ ein automatisiertes Befüllverfahren, das in der Regel für endsterilisierte Produkte verwendet wird und bei dem das primäre Behältnis aus einer Endlos-Verpackungsfolienrolle gebildet und gleichzeitig das gebildete Behältnis mit dem Produkt gefüllt und die gefüllten Behältnisse in einem kontinuierlichen Verfahren versiegelt werden. Bei Form-Fill-Seal-Verfahren kann ein einbahniges System (bei dem eine einzelne flache Folienrolle um sich selbst geschlungen wird, um einen Hohlraum zu bilden) oder ein zweibahniges System (bei dem zwei flache Folienrollen zusammengeführt werden, um einen Hohlraum zu bilden) zum Einsatz kommen, häufig mithilfe von Vakuumformen oder Druckgasen. Der so gebildete Hohlraum wird befüllt, versiegelt und in Abschnitte geschnitten. Die Folien bestehen in der Regel aus einem Polymermaterial, einer polymeren beschichteten Folie oder einem anderen geeigneten Material.</w:t>
      </w:r>
    </w:p>
    <w:p>
      <w:r>
        <w:t>Fußnote (34) Für die Zwecke dieses Anhangs bezeichnet der Ausdruck „Blow-Fill-Seal“ eine Technologie, bei der Behältnisse aus einem thermoplastischen Granulat geformt, mit einem Produkt gefüllt und anschließend in einem kontinuierlichen, integrierten und automatischen Verfahren versiegelt werden. Die beiden häufigsten Typen von Blow-Fill-Seal-Maschinen sind Shuttle-Typ- (mit Vorformling-Schnitt) und Rotations-Typ-Maschinen (geschlossener Vorformling).</w:t>
      </w:r>
    </w:p>
    <w:p>
      <w:r>
        <w:t>Fußnote (35) Für die Zwecke dieses Anhangs bezeichnet „Vorformling“ den von der Blow-Fill-Seal-Maschine extrudierten Polymerschlauch, aus dem Behältnisse geformt werden.</w:t>
      </w:r>
    </w:p>
    <w:p>
      <w:r>
        <w:t>Fußnote (36) Für die Zwecke dieses Anhangs bezeichnet „Gefriertrocknung“ ein physikalisch-chemisches Trocknungsverfahren, bei dem Lösungsmittel durch Sublimation sowohl aus wässrigen als auch aus nichtwässrigen Systemen entfernt werden, um in erster Linie Produkt- oder Materialstabilität zu erreichen. Gefriertrocknung ist gleichbedeutend mit Lyophilisierung.</w:t>
      </w:r>
    </w:p>
    <w:p>
      <w:r>
        <w:t>Fußnote (37) Für die Zwecke dieses Anhangs bezeichnet der Begriff „Einwegsysteme“ Systeme, bei denen produktberührende Bestandteile nur einmal verwendet werden, und zwar anstelle von wiederverwendbaren Ausrüstungsteilen wie Übertragungsleitungen aus rostfreiem Stahl oder Bulk-Behältnissen.</w:t>
      </w:r>
    </w:p>
    <w:p>
      <w:r>
        <w:t>Fußnote (38) Für die Zwecke dieses Anhangs bezeichnet der Ausdruck „auslaugbare Stoffe“ chemische Stoffe, die unter normalen Verwendungs- oder Lagerungsbedingungen von der produktberührenden Oberfläche der Prozessausrüstung oder der Behältnisse in das zu verarbeitende Produkt oder Material übergehen.</w:t>
      </w:r>
    </w:p>
    <w:p>
      <w:r>
        <w:t>Fußnote (39) Für die Zwecke dieses Anhangs bezeichnet der Ausdruck „extrahierbare Stoffe“ chemische Stoffe, die, wenn sie unter extremen Bedingungen einem geeigneten Lösungsmittel ausgesetzt sind, von der Oberfläche der Prozessausrüstung in das zu verarbeitende Produkt oder Material übergehen.</w:t>
      </w:r>
    </w:p>
    <w:p>
      <w:r>
        <w:t>Fußnote (40) Für Klasse D sind keine Betriebsgrenzwerte vordefiniert. Der Hersteller muss auf der Grundlage einer Risikobewertung und gegebenenfalls routinemäßig erhobener Daten Betriebsgrenzwerte festlegen.</w:t>
      </w:r>
    </w:p>
    <w:p>
      <w:r>
        <w:t>Fußnote (41)</w:t>
      </w:r>
    </w:p>
    <w:p>
      <w:r>
        <w:t>Fußnote Sedimentationsplatten müssen in den Bereichen der Klassen A und B für die Dauer der Arbeitsvorgänge (einschließlich des Einrichtens der Geräte) exponiert und bei Bedarf nach spätestens vier Stunden ausgewechselt werden (die Expositionszeit muss auf der Grundlage einer Validierung einschließlich Studien zur Rückgewinnung festgelegt werden und darf sich nicht negativ auf die Eignung der verwendeten Medien auswirken).</w:t>
      </w:r>
    </w:p>
    <w:p>
      <w:r>
        <w:t>Fußnote Bei den Bereichen der Klassen C und D müssen sich die Expositionszeit (maximal vier Stunden) und die Häufigkeit nach den Grundsätzen des Qualitätsrisikomanagements richten.</w:t>
      </w:r>
    </w:p>
    <w:p>
      <w:r>
        <w:t>Fußnote Einzelne Sedimentationsplatten dürfen weniger als vier Stunden exponiert werden.</w:t>
      </w:r>
    </w:p>
    <w:p>
      <w:r>
        <w:t>Fußnote (42) Die Grenzwerte für Abklatschplatten gelten für Ausrüstungs-, Raum- und Kleidungsoberflächen innerhalb der Bereiche der Klassen A und B. Die routinemäßige Überwachung von Kleidungsstücken ist in der Regel für Bereiche der Klassen C und D nicht erforderlich, je nach deren Funktion.</w:t>
      </w:r>
    </w:p>
    <w:p>
      <w:r>
        <w:t>Fußnote (43) Bei Klasse A muss jegliches Wachstum Anlass für eine Untersuchung sein.</w:t>
      </w:r>
    </w:p>
    <w:p>
      <w:r>
        <w:t>Fußnote (44) Für die Zwecke dieses Anhangs bezeichnet der Ausdruck „Simulation des aseptischen Prozesses“ die Simulation des gesamten aseptischen Herstellungsprozesses, um zu überprüfen, ob der Prozess geeignet ist, die Sterilität zu gewährleisten/eine Kontamination während der Produktion zu verhindern. Sie umfasst alle Vorgänge im Zusammenhang mit der routinemäßigen Herstellung, wie z. B. die Montage der Ausrüstung, die Formulierung, die Befüllung, die Gefriertrocknung und den Versiegelungsprozess, wie jeweils erforderlich.</w:t>
      </w:r>
    </w:p>
    <w:p>
      <w:r>
        <w:t>Fußnote (45) Für die Zwecke dieses Anhangs bezeichnet der Ausdruck „lokale Isolate“ angemessen repräsentative Mikroorganismen des Standorts, die häufig durch Umgebungsüberwachung innerhalb der eingestuften Zone/Bereiche (insbesondere Bereiche der Klassen A und B) durch Personalüberwachung oder durch positive Ergebnisse von Sterilitätstests gewonnen werden.</w:t>
      </w:r>
    </w:p>
    <w:p>
      <w:r>
        <w:t>Fußnote (46) Für die Zwecke dieses Anhangs bezeichnet der Ausdruck „Overkill-Sterilisation“ ein Verfahren, das ausreicht, um eine Verringerung der Mikroorganismen um mindestens 12 log 10 bei einem Mindest-D-Wert von 1 Minute zu erreichen.</w:t>
      </w:r>
    </w:p>
    <w:p>
      <w:r>
        <w:t>Fußnote (1) GMP-Grundsätze sind zu befolgen.</w:t>
      </w:r>
    </w:p>
    <w:p>
      <w:r>
        <w:t>Fußnote (2) Siehe Abschnitt IV zur Anwendbarkeit der GMP-Grundsätze.</w:t>
      </w:r>
    </w:p>
    <w:p>
      <w:r>
        <w:t>Fußnote (3) Siehe Abschnitt VI zur Anwendbarkeit der GMP.</w:t>
      </w:r>
    </w:p>
    <w:p>
      <w:r>
        <w:t>Fußnote (4) Siehe Abschnitt VI zur Anwendbarkeit der GMP. Die Verwaltung der Arbeitszellbank sollte in einer GMP-Umgebung erfolgen.</w:t>
      </w:r>
    </w:p>
    <w:p>
      <w:r>
        <w:t>Fußnote (5) Es gelten die Standards der guten Anbau- und Sammelpraxis (Good Agricultural and Collection Practice, GACP) für Arzneipflanzen.</w:t>
      </w:r>
    </w:p>
    <w:p>
      <w:r>
        <w:t>Fußnote (6) BCG-Impfstoff (Bacillus Calmette-Guérin).</w:t>
      </w:r>
    </w:p>
    <w:p>
      <w:r>
        <w:t>Fußnote (7) Personal, das einen Containment-Bereich betritt, in dem in den vorangegangenen zwölf Stunden keine Organismen im offenen Kreislauf gehandhabt wurden, gilt nicht als kontaminationsgefährdet, es sei denn, es handelt sich bei dem betreffenden Organismus um einen biologischen Arbeitsstoff, der eine Krankheit hervorruft, die in dem betreffenden Land oder geografischen Gebiet nicht vorkommt oder für die in dem betreffenden Land oder geografischen Gebiet prophylaktische Maßnahmen oder ein Tilgungsprogramm durchgeführt werden.</w:t>
      </w:r>
    </w:p>
    <w:p>
      <w:r>
        <w:t>Fußnote (8) Für die Zwecke dieses Anhangs bezeichnet der Ausdruck „exotischer Organismus“ einen biologischen Arbeitsstoff, der eine Krankheit hervorruft, die in dem betreffenden Land oder geografischen Gebiet nicht vorkommt oder für die in dem betreffenden Land oder geografischen Gebiet prophylaktische Maßnahmen oder ein Tilgungsprogramm durchgeführt werden.</w:t>
      </w:r>
    </w:p>
    <w:p>
      <w:r>
        <w:t>Fußnote (9) Für die Zwecke dieses Anhangs bezeichnet der Ausdruck „Clean in Place“ ein in der Regel automatisiertes Verfahren zur Reinigung von Ausrüstung, Rohren, Behältern und zugehörigen Verbindungselementen von innen, ohne dass die Anlage zerlegt werden muss.</w:t>
      </w:r>
    </w:p>
    <w:p>
      <w:r>
        <w:t>Fußnote (10) Für die Zwecke dieses Anhangs bezeichnet der Ausdruck „Steam in Place“ ein in der Regel automatisiertes Verfahren zur Sterilisation von Ausrüstung, Rohren, Behältern und zugehörigen Verbindungselementen von innen unter Verwendung von Dampf, ohne dass die Anlage zerlegt werden muss.</w:t>
      </w:r>
    </w:p>
    <w:p>
      <w:r>
        <w:t>Fußnote (11) https://www.woah.org/en/home.</w:t>
      </w:r>
    </w:p>
    <w:p>
      <w:r>
        <w:t>Fußnote (12) Für die Zwecke dieses Anhangs bezeichnet der Ausdruck „spezifiziert pathogenfrei“ Tiere, die frei von spezifizierten Pathogenen sind. Diese Herden oder Bestände leben in einer gemeinsamen Umgebung und verfügen über eigene Pfleger, die keinen Kontakt zu Nicht-SPF-Gruppen haben.</w:t>
      </w:r>
    </w:p>
    <w:p>
      <w:r>
        <w:t>Fußnote (13) Für die Zwecke dieses Anhangs bezeichnet der Ausdruck „Mastersaatgut“ eine Kultur eines Mikroorganismus, die aus einem einzigen Bulkmaterial zur Erzielung einer einheitlichen Qualität, zur Sicherung der Haltbarkeit und zur Verhinderung einer Kontamination in einem einzigen Arbeitsschritt in Einzelbehälter gegeben und zusammen verarbeitet wird.</w:t>
      </w:r>
    </w:p>
    <w:p>
      <w:r>
        <w:t>Fußnote Im Sinne dieses Anhangs bezeichnet der Ausdruck „Arbeitssaatgut“ eine Kultur eines Mikroorganismus, die aus dem Mastersaatgut hervorgegangen und zur Verwendung in der Produktion bestimmt ist.</w:t>
      </w:r>
    </w:p>
    <w:p>
      <w:r>
        <w:t>Fußnote (14) Für die Zwecke dieses Anhangs bezeichnet der Ausdruck „Masterzellbank“ eine Kultur von Zellen, die in einem einzigen Arbeitsgang auf Behälter verteilt, zusammen verarbeitet und so aufbewahrt werden, dass ihre einheitliche Qualität und Haltbarkeit gewährleistet ist und eine Kontamination verhindert wird.</w:t>
      </w:r>
    </w:p>
    <w:p>
      <w:r>
        <w:t>Fußnote Für die Zwecke dieses Anhangs bezeichnet der Ausdruck „Arbeitszellbank“ eine Kultur von Zellen, die aus der Masterzellbank hervorgegangen und zur Verwendung bei der Herstellung von Produktionszellkulturen bestimmt sind. Der Begriff „genetisch veränderte/genomeditierte Arbeitsbank“ wird mit derselben Bedeutung verwendet, jedoch für Pflanzen oder Tiere, die genetisch verändert wurden oder deren Genom editiert wurde.</w:t>
      </w:r>
    </w:p>
    <w:p>
      <w:r>
        <w:t>Fußnote (15) Für die Zwecke dieses Anhangs bezeichnet der Ausdruck „Reinraum-/Containment-Bereich“ einen Bereich, der so konstruiert ist und betrieben wird, dass gleichzeitig die Ziele eines Reinraumbereichs und eines Containment-Bereichs verwirklicht werden.</w:t>
      </w:r>
    </w:p>
    <w:p>
      <w:r>
        <w:t>Fußnote (16) Allergene, die chemisch modifiziert werden, um die IgE-Reaktivität zu verringern.</w:t>
      </w:r>
    </w:p>
    <w:p>
      <w:r>
        <w:t>Fußnote (17) Ein Molekül mit geringem Molekulargewicht, das an sich nicht antigen ist, es sei denn, es wird mit einem Trägermolekül konjugiert.</w:t>
      </w:r>
    </w:p>
    <w:p>
      <w:r>
        <w:t>Fußnote (18) EMEA/HMPC/246816/2005.</w:t>
      </w:r>
    </w:p>
    <w:p>
      <w:r>
        <w:t>Fußnote (1) Die Hersteller führen diese Schritte in Übereinstimmung mit der Zulassung durch. Für erste Schritte, die entsprechend der Begründung in der Zulassung auf dem Feld vorgenommen werden, gelten die Standards der guten Anbau- und der Sammelpraxis für Ausgangsstoffe pflanzlichen Ursprungs (Good Agricultural and Collection practice for starting materials of herbal origin, GACP). Die gute Herstellungspraxis gilt für die weiteren Zerschneide- und Trocknungsschritte.</w:t>
      </w:r>
    </w:p>
    <w:p>
      <w:r>
        <w:t>Fußnote (2) Es ist akzeptabel, dass das Auspressen der Pflanzen und die Destillation auf dem Feld erfolgen, wenn diese Tätigkeiten fester Bestandteil der Ernte sein müssen, um die Qualität des Produkts im Rahmen der genehmigten Spezifikationen aufrechtzuerhalten, sofern der Anbau im Einklang mit den GACP erfolgt. Dieser Ansatz kann nur in Ausnahmefällen und unter der Voraussetzung akzeptiert werden, dass er von der betreffenden Zulassung erfasst ist. Für die auf dem Feld ausgeführten Tätigkeiten ist eine angemessene Dokumentation, Kontrolle und Validierung nach den Grundsätzen der guten Herstellungspraxis zu gewährleisten.</w:t>
      </w:r>
    </w:p>
    <w:p>
      <w:r>
        <w:t>Fußnote (3) Im Sinne dieses Abschnitts bezeichnet „Gasflasche“ einen üblicherweise zylindrischen Behälter, der für die Aufbewahrung von komprimiertem, verflüssigtem oder gelöstem Gas geeignet ist und mit einer Vorrichtung zur Regelung des spontanen Gasaustritts bei atmosphärischem Druck und Raumtemperatur ausgestattet ist.</w:t>
      </w:r>
    </w:p>
    <w:p>
      <w:r>
        <w:t>Fußnote (4) Im Sinne dieses Abschnitts bezeichnet „mobiler Flüssiggasbehälter“ einen beweglichen, thermisch isolierten Behälter, der dafür ausgelegt ist, den Inhalt in flüssigem Zustand zu halten. Dieser Begriff umfasst keine Tankfahrzeuge.</w:t>
      </w:r>
    </w:p>
    <w:p>
      <w:r>
        <w:t>Fußnote (5) Im Sinne dieses Abschnitts bezeichnet „Heim-Flüssiggasbehälter“ einen mobilen Flüssiggasbehälter zur Aufbewahrung von flüssigem Sauerstoff, der zu Hause beim Patienten gasförmigen Sauerstoff abgibt.</w:t>
      </w:r>
    </w:p>
    <w:p>
      <w:r>
        <w:t>Fußnote (6) Im Sinne dieses Abschnitts bezeichnet „Behälter“ einen Flüssiggasbehälter (Tank, Tankfahrzeug oder einen anderen Typ eines mobilen Flüssiggasbehälters), eine Gasflasche, ein Gasflaschenbündel oder ein anderes Gebinde, das in direktem Kontakt mit dem Gas steht.</w:t>
      </w:r>
    </w:p>
    <w:p>
      <w:r>
        <w:t>Fußnote (7) Im Sinne dieses Abschnitts bezeichnet „Abfüllstation“ eine Ausrüstung oder Apparatur, die so konstruiert ist, dass ein oder mehrere Gasbehälter gleichzeitig entleert und wieder gefüllt werden können.</w:t>
      </w:r>
    </w:p>
    <w:p>
      <w:r>
        <w:t>Fußnote (8) Im Sinne dieses Abschnitts bezeichnet „Tank“ einen stationären, temperaturisolierten Behälter, der für die Lagerung eines verflüssigten oder kryogenen Gases ausgelegt ist. Ein Tank kann auch als „ortsfester Flüssiggasbehälter“ bezeichnet werden.</w:t>
      </w:r>
    </w:p>
    <w:p>
      <w:r>
        <w:t>Fußnote (9) Im Sinne dieses Abschnitts bezeichnet „Tankfahrzeug“ einen temperaturisolierten Behälter für den Transport eines verflüssigten oder kryogenen Gases, der auf einem Fahrzeug befestigt ist.</w:t>
      </w:r>
    </w:p>
    <w:p>
      <w:r>
        <w:t>Fußnote (10) Im Sinne dieses Abschnitts bezeichnet „Spülen“ das Entfernen von Restgas aus einem Behälter/System durch Druckbeaufschlagen mit dem für die Spülung verwendeten Gas und anschließendes Leerströmen, bis 1,013 bar erreicht sind.</w:t>
      </w:r>
    </w:p>
    <w:p>
      <w:r>
        <w:t>Fußnote (11) Im Sinne dieses Abschnitts bezeichnet „verflüssigtes Gas“ ein Gas, das im Transportbehältnis bei einer Temperatur von über -50 °C teilflüssig (oder fest) ist.</w:t>
      </w:r>
    </w:p>
    <w:p>
      <w:r>
        <w:t>Fußnote (12) Im Sinne dieses Abschnitts bezeichnet „Rückschlagventil“ ein Ventil, das ein Strömen in nur eine Richtung erlaubt.</w:t>
      </w:r>
    </w:p>
    <w:p>
      <w:r>
        <w:t>Fußnote (13) Im Sinne dieses Abschnitts bezeichnet „Minimalrestdruckventil“ ein Gasflaschenventil, das nach Gebrauch in einer Gasflasche einen positiven Druck oberhalb des atmosphärischen Drucks aufrechterhält, um eine Kontamination im Inneren der Gasflasche zu verhindern.</w:t>
      </w:r>
    </w:p>
    <w:p>
      <w:r>
        <w:t>Fußnote (14) Im Sinne dieses Abschnitts bezeichnet „Evakuieren“ die Entfernung von Restgas aus einem Behälter / System unter Verwendung einer Vakuumvorrichtung, bis ein Druck von weniger als 1,013 bar erreicht ist.</w:t>
      </w:r>
    </w:p>
    <w:p>
      <w:r>
        <w:t>Fußnote (15) Bei komprimierten Gasen sollte bei einem Fülldruck von 200 bar und bei 15 °C eine maximale theoretische Verunreinigung von 500 ppm Vol.-% erreicht werden (bzw. ein entsprechender Wert bei anderen Fülldrücken).</w:t>
      </w:r>
    </w:p>
    <w:p>
      <w:r>
        <w:t>Fußnote (16) Leitfaden CPMP/QWP/1719/00.</w:t>
      </w:r>
    </w:p>
    <w:p>
      <w:r>
        <w:t>Fußnote (1) Für die Zwecke dieses Anhangs bezeichnet der Ausdruck „IT-Infrastruktur“ die Hardware und Software, die für den Betrieb des Systems erforderlich ist (z. B. Netzwerksoftware und Betriebssysteme).</w:t>
      </w:r>
    </w:p>
    <w:p>
      <w:r>
        <w:t>Fußnote (1) Angemessene Prozesskenntnisse sind besonders in Fällen, in denen das Konzept des „Design Space“ zum Tragen kommt, sowie für die Entwicklung mathematischer Modelle von Bedeutung.</w:t>
      </w:r>
    </w:p>
    <w:p>
      <w:r>
        <w:t>Fußnote (2) Für die Zwecke dieses Anhangs bezeichnet der Ausdruck „Reinigungsverifizierung“ das Sammeln von Beweisen mittels chemischer Analyse nach jeder Charge/Kampagne als Nachweis dafür, dass Rückstände des vorherigen Produkts oder Reinigungsmitteln unter den wissenschaftlich festgelegten Höchstwert gesenkt wurden.</w:t>
      </w:r>
    </w:p>
    <w:p>
      <w:r>
        <w:t>Fußnote (3) Siehe EMA Guideline on setting health based exposure limits for use in risk identification in the manufacture of different medicinal products in shared facilities.</w:t>
      </w:r>
    </w:p>
    <w:p>
      <w:r>
        <w:t>Fußnote (1) https://www.ema.europa.eu/en/human-regulatory-overview/research-development/data-medicines-iso-idmp-standards-overview/substance-product-organisation-referential-spor-master-data/organisation-management-service-oms.</w:t>
      </w:r>
    </w:p>
    <w:p>
      <w:r>
        <w:t>Fußnote (2) Querverweise auf die Angaben in Anlage 1 oder 2 sind zulässig.</w:t>
      </w:r>
    </w:p>
    <w:p>
      <w:r>
        <w:t>Fußnote (1) Für die Zwecke dieses Anhangs bezeichnet der Ausdruck „kontinuierliche Behandlung“ einen Bestrahlungsprozess, bei dem die Produkte durch ein automatisches System in die Bestrahlungskammer befördert werden, die exponierte Strahlungsquelle auf einem definierten Weg und mit einer geeigneten Geschwindigkeit passieren und anschließend aus der Kammer herausbefördert werden.</w:t>
      </w:r>
    </w:p>
    <w:p>
      <w:r>
        <w:t>Fußnote (2) Für die Zwecke dieses Anhangs bezeichnet der Ausdruck „Chargenbetrieb“ einen Bestrahlungsprozess, bei dem das Produkt an festgelegten Stellen um die Strahlungsquelle herum angeordnet ist und während der Exposition der Strahlungsquelle nicht be- oder entladen werden kann.</w:t>
      </w:r>
    </w:p>
    <w:p>
      <w:r>
        <w:t>Fußnote (1) Die Prüfausrüstung ist in die Prozesslinie integriert, wo die Analyse unter den Prozessbedingungen durchgeführt wird. Nach der Messung bewegt sich die Probe kontinuierlich weiter. Dies war die ursprüngliche Methode der Echtzeitanalyse.</w:t>
      </w:r>
    </w:p>
    <w:p>
      <w:r>
        <w:t>Fußnote (2) Die Probe wird auf statistisch repräsentative Weise aus der Prozesslinie extrahiert und in die Messzone eingeführt. Die Messbedingungen ähneln denen der Prozesslinie. Nach der Messung kann die Probe entsorgt oder wieder der Prozesslinie zugeführt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(7 von 7) Anhang IX ECHTZEIT-FREIGABEPRÜFUNG</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