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Tierarzneimittel Korrespondenztabelle DVO 2025-2154 (EN)</w:t>
      </w:r>
    </w:p>
    <w:p>
      <w:r>
        <w:t>Quelle: https://health.ec.europa.eu/document/download/2b77b613-456b-43e7-a63c-123720cf75a5_en?filename=mp_gmp_active-substances_vetmedproducts_correspondence_en.pdf</w:t>
      </w:r>
    </w:p>
    <w:p>
      <w:pPr>
        <w:pStyle w:val="Heading2"/>
      </w:pPr>
      <w:r>
        <w:t>Table of correspondence – good manufacturing practice for active substances used as starting materials in veterinary medicinal products</w:t>
      </w:r>
    </w:p>
    <w:p>
      <w:r>
        <w:rPr>
          <w:b/>
        </w:rPr>
        <w:t>Tabelle (zeilenweise wiedergegeben):</w:t>
      </w:r>
    </w:p>
    <w:p>
      <w:pPr>
        <w:pStyle w:val="ListBullet"/>
      </w:pPr>
      <w:r>
        <w:t>Article 1 Subject matter and scope; Previous legislation/guidelines: • EudraLex Volume 4, Part II : 1.1, 1.2 • EudraLex Volume 4, Part II : 17.10 • EudraLex Volume 4, Annex 6, point 3 • EudraLex Volume 4, Annex 7: principle.</w:t>
      </w:r>
    </w:p>
    <w:p>
      <w:pPr>
        <w:pStyle w:val="ListBullet"/>
      </w:pPr>
      <w:r>
        <w:t>Article 2 Definitions; Previous legislation/guidelines: • EudraLex Volume 4, Part I, Chapter 1: 1.12 • EudraLex Volume 4, Part II: Glossary • EudraLex Volume 4, Part II: 18.12 • EudraLex Volume 4, Annex 1: Glossary • EudraLex Volume 4, Glossary.</w:t>
      </w:r>
    </w:p>
    <w:p>
      <w:pPr>
        <w:pStyle w:val="ListBullet"/>
      </w:pPr>
      <w:r>
        <w:t>Article 3 Starting point for the manufacture of active substances; Previous legislation/guidelines: • EudraLex Volume 4, Part II: Table 1.</w:t>
      </w:r>
    </w:p>
    <w:p>
      <w:pPr>
        <w:pStyle w:val="ListBullet"/>
      </w:pPr>
      <w:r>
        <w:t>Article 4 Implementation of a quality management system; Previous legislation/guidelines: • EudraLex Volume 4, Part II: 2.11.</w:t>
      </w:r>
    </w:p>
    <w:p>
      <w:pPr>
        <w:pStyle w:val="ListBullet"/>
      </w:pPr>
      <w:r>
        <w:t>Article 5 Requirements of the quality management system; Previous legislation/guidelines: • EudraLex Volume 4, Part II: 2.1, 2.2.</w:t>
      </w:r>
    </w:p>
    <w:p>
      <w:pPr>
        <w:pStyle w:val="ListBullet"/>
      </w:pPr>
      <w:r>
        <w:t>Article 6 Responsibilities of the quality unit; Previous legislation/guidelines: • EudraLex Volume 4, Part II: 2.3.</w:t>
      </w:r>
    </w:p>
    <w:p>
      <w:pPr>
        <w:pStyle w:val="ListBullet"/>
      </w:pPr>
      <w:r>
        <w:t>Article 7 Responsibilities of the production unit; Previous legislation/guidelines: • EudraLex Volume 4, Part II: 2.4.</w:t>
      </w:r>
    </w:p>
    <w:p>
      <w:pPr>
        <w:pStyle w:val="ListBullet"/>
      </w:pPr>
      <w:r>
        <w:t>Article 8 Quality reviews; Previous legislation/guidelines: • EudraLex Volume 4, Part II: 2.6.</w:t>
      </w:r>
    </w:p>
    <w:p>
      <w:pPr>
        <w:pStyle w:val="ListBullet"/>
      </w:pPr>
      <w:r>
        <w:t>Article 9 Self-inspection; Previous legislation/guidelines: • EudraLex Volume 4, Part II: 2.5.</w:t>
      </w:r>
    </w:p>
    <w:p>
      <w:pPr>
        <w:pStyle w:val="ListBullet"/>
      </w:pPr>
      <w:r>
        <w:t>Article 10 General requirements for personnel; Previous legislation/guidelines: • EudraLex Volume 4, Part II: 3.1, 3.3.</w:t>
      </w:r>
    </w:p>
    <w:p>
      <w:pPr>
        <w:pStyle w:val="ListBullet"/>
      </w:pPr>
      <w:r>
        <w:t>Article 11 Training; Previous legislation/guidelines: • EudraLex Volume 4, Part II: 3.12.</w:t>
      </w:r>
    </w:p>
    <w:p>
      <w:pPr>
        <w:pStyle w:val="ListBullet"/>
      </w:pPr>
      <w:r>
        <w:t>Article 12 Hygiene; Previous legislation/guidelines: • EudraLex Volume 4, Part II: 3.2.</w:t>
      </w:r>
    </w:p>
    <w:p>
      <w:pPr>
        <w:pStyle w:val="ListBullet"/>
      </w:pPr>
      <w:r>
        <w:t>Article 13 General requirements for premises; Previous legislation/guidelines: • EudraLex Volume 4, Part II: 4.1, 4.2, 4.5, 4.6.</w:t>
      </w:r>
    </w:p>
    <w:p>
      <w:pPr>
        <w:pStyle w:val="ListBullet"/>
      </w:pPr>
      <w:r>
        <w:t>Article 14 Water; Previous legislation/guidelines: • EudraLex Volume 4, Part II: 4.3.</w:t>
      </w:r>
    </w:p>
    <w:p>
      <w:pPr>
        <w:pStyle w:val="ListBullet"/>
      </w:pPr>
      <w:r>
        <w:t>Article 15 Containment; Previous legislation/guidelines: • EudraLex Volume 4, Part II: 4.4.</w:t>
      </w:r>
    </w:p>
    <w:p>
      <w:pPr>
        <w:pStyle w:val="ListBullet"/>
      </w:pPr>
      <w:r>
        <w:t>Article 16 Sanitation and maintenance; Previous legislation/guidelines: • EudraLex Volume 4, Part II: 4.7.</w:t>
      </w:r>
    </w:p>
    <w:p>
      <w:pPr>
        <w:pStyle w:val="ListBullet"/>
      </w:pPr>
      <w:r>
        <w:t>EQUIPMENT Article 17 Design and construction; Previous legislation/guidelines: • EudraLex Volume 4, Part II: 5.1.</w:t>
      </w:r>
    </w:p>
    <w:p>
      <w:pPr>
        <w:pStyle w:val="ListBullet"/>
      </w:pPr>
      <w:r>
        <w:t>Article 18 Maintenance and cleaning; Previous legislation/guidelines: • EudraLex Volume 4, Part II: 5.2.</w:t>
      </w:r>
    </w:p>
    <w:p>
      <w:pPr>
        <w:pStyle w:val="ListBullet"/>
      </w:pPr>
      <w:r>
        <w:t>Article 19 Calibration; Previous legislation/guidelines: • EudraLex Volume 4, Part II: 5.3.</w:t>
      </w:r>
    </w:p>
    <w:p>
      <w:pPr>
        <w:pStyle w:val="ListBullet"/>
      </w:pPr>
      <w:r>
        <w:t>Article 20 Computerised systems; Previous legislation/guidelines: • EudraLex Volume 4, Part II: 5.4.</w:t>
      </w:r>
    </w:p>
    <w:p>
      <w:pPr>
        <w:pStyle w:val="ListBullet"/>
      </w:pPr>
      <w:r>
        <w:t>Article 21 Documentation system; Previous legislation/guidelines: • EudraLex Volume 4, Part II: 6.1.</w:t>
      </w:r>
    </w:p>
    <w:p>
      <w:pPr>
        <w:pStyle w:val="ListBullet"/>
      </w:pPr>
      <w:r>
        <w:t>Article 22 Specifications; Previous legislation/guidelines: • EudraLex Volume 4, Part II: 6.17.</w:t>
      </w:r>
    </w:p>
    <w:p>
      <w:pPr>
        <w:pStyle w:val="ListBullet"/>
      </w:pPr>
      <w:r>
        <w:t>Article 23 Equipment cleaning, maintenance and use records; Previous legislation/guidelines: • EudraLex Volume 4, Part II: 6.2.</w:t>
      </w:r>
    </w:p>
    <w:p>
      <w:pPr>
        <w:pStyle w:val="ListBullet"/>
      </w:pPr>
      <w:r>
        <w:t>Article 24 Records for raw materials, intermediates, active substance labelling and packaging materials; Previous legislation/guidelines: • EudraLex Volume 4, Part II: 6.3.</w:t>
      </w:r>
    </w:p>
    <w:p>
      <w:pPr>
        <w:pStyle w:val="ListBullet"/>
      </w:pPr>
      <w:r>
        <w:t>Article 25 Master production instructions; Previous legislation/guidelines: • EudraLex Volume 4, Part II: 6.4.</w:t>
      </w:r>
    </w:p>
    <w:p>
      <w:pPr>
        <w:pStyle w:val="ListBullet"/>
      </w:pPr>
      <w:r>
        <w:t>Article 26 Batch production and control records; Previous legislation/guidelines: • EudraLex Volume 4, Part II: 6.5.</w:t>
      </w:r>
    </w:p>
    <w:p>
      <w:pPr>
        <w:pStyle w:val="ListBullet"/>
      </w:pPr>
      <w:r>
        <w:t>Article 27 Laboratory control records; Previous legislation/guidelines: • EudraLex Volume 4, Part II: 6.6.</w:t>
      </w:r>
    </w:p>
    <w:p>
      <w:pPr>
        <w:pStyle w:val="ListBullet"/>
      </w:pPr>
      <w:r>
        <w:t>Article 28 Batch production and laboratory control records review; Previous legislation/guidelines: • EudraLex Volume 4, Part II: 6.7.</w:t>
      </w:r>
    </w:p>
    <w:p>
      <w:pPr>
        <w:pStyle w:val="ListBullet"/>
      </w:pPr>
      <w:r>
        <w:t>Article 29 Handling of materials; Previous legislation/guidelines: • EudraLex Volume 4, Part II: 7.1.</w:t>
      </w:r>
    </w:p>
    <w:p>
      <w:pPr>
        <w:pStyle w:val="ListBullet"/>
      </w:pPr>
      <w:r>
        <w:t>Article 30 Receipt and quarantine for incoming materials; Previous legislation/guidelines: • EudraLex Volume 4, Part II: 7.2.</w:t>
      </w:r>
    </w:p>
    <w:p>
      <w:pPr>
        <w:pStyle w:val="ListBullet"/>
      </w:pPr>
      <w:r>
        <w:t>Article 31 Testing of incoming materials; Previous legislation/guidelines: • EudraLex Volume 4, Part II: 7.30, 7.31, 7.32.</w:t>
      </w:r>
    </w:p>
    <w:p>
      <w:pPr>
        <w:pStyle w:val="ListBullet"/>
      </w:pPr>
      <w:r>
        <w:t>Article 32 Sampling of incoming materials; Previous legislation/guidelines: • EudraLex Volume 4, Part II: 7.33, 7.34, 7.35.</w:t>
      </w:r>
    </w:p>
    <w:p>
      <w:pPr>
        <w:pStyle w:val="ListBullet"/>
      </w:pPr>
      <w:r>
        <w:t>Article 33 Re-evaluation of materials; Previous legislation/guidelines: • EudraLex Volume 4, Part II: 7.5.</w:t>
      </w:r>
    </w:p>
    <w:p>
      <w:pPr>
        <w:pStyle w:val="ListBullet"/>
      </w:pPr>
      <w:r>
        <w:t>Article 34 Production operations; Previous legislation/guidelines: • EudraLex Volume 4, Part II: 8.1.</w:t>
      </w:r>
    </w:p>
    <w:p>
      <w:pPr>
        <w:pStyle w:val="ListBullet"/>
      </w:pPr>
      <w:r>
        <w:t>Article 35 Time limits; Previous legislation/guidelines: • EudraLex Volume 4, Part II: 8.2.</w:t>
      </w:r>
    </w:p>
    <w:p>
      <w:pPr>
        <w:pStyle w:val="ListBullet"/>
      </w:pPr>
      <w:r>
        <w:t>Article 36 In-process controls and in-process sampling; Previous legislation/guidelines: • EudraLex Volume 4, Part II: 8.3.</w:t>
      </w:r>
    </w:p>
    <w:p>
      <w:pPr>
        <w:pStyle w:val="ListBullet"/>
      </w:pPr>
      <w:r>
        <w:t>Article 37 Blending batches of intermediates or active substances; Previous legislation/guidelines: • EudraLex Volume 4, Part II: 8.4.</w:t>
      </w:r>
    </w:p>
    <w:p>
      <w:pPr>
        <w:pStyle w:val="ListBullet"/>
      </w:pPr>
      <w:r>
        <w:t>Article 38 Contamination control; Previous legislation/guidelines: • EudraLex Volume 4, Part II: 8.5.</w:t>
      </w:r>
    </w:p>
    <w:p>
      <w:pPr>
        <w:pStyle w:val="ListBullet"/>
      </w:pPr>
      <w:r>
        <w:t>Article 39 General requirements concerning packaging and labelling; Previous legislation/guidelines: • EudraLex Volume 4, Part II: 9.1.</w:t>
      </w:r>
    </w:p>
    <w:p>
      <w:pPr>
        <w:pStyle w:val="ListBullet"/>
      </w:pPr>
      <w:r>
        <w:t>Article 40 Containers; Previous legislation/guidelines: • EudraLex Volume 4, Part II: 9.2.</w:t>
      </w:r>
    </w:p>
    <w:p>
      <w:pPr>
        <w:pStyle w:val="ListBullet"/>
      </w:pPr>
      <w:r>
        <w:t>Article 41 Label issuance and control; Previous legislation/guidelines: • EudraLex Volume 4, Part II: 9.3.</w:t>
      </w:r>
    </w:p>
    <w:p>
      <w:pPr>
        <w:pStyle w:val="ListBullet"/>
      </w:pPr>
      <w:r>
        <w:t>Article 42 Packaging and labelling operations; Previous legislation/guidelines: • EudraLex Volume 4, Part II: 9.4.</w:t>
      </w:r>
    </w:p>
    <w:p>
      <w:pPr>
        <w:pStyle w:val="ListBullet"/>
      </w:pPr>
      <w:r>
        <w:t>Article 43 Storage conditions and warehousing procedures; Previous legislation/guidelines: • EudraLex Volume 4, Part II: 7.4, 10.1.</w:t>
      </w:r>
    </w:p>
    <w:p>
      <w:pPr>
        <w:pStyle w:val="ListBullet"/>
      </w:pPr>
      <w:r>
        <w:t>Article 44 Distribution procedures; Previous legislation/guidelines: • EudraLex Volume 4, Part II: 10.2.</w:t>
      </w:r>
    </w:p>
    <w:p>
      <w:pPr>
        <w:pStyle w:val="ListBullet"/>
      </w:pPr>
      <w:r>
        <w:t>LABORATORY CONTROLS Article 45 General controls; Previous legislation/guidelines: • EudraLex Volume 4, Part II: 11.1.</w:t>
      </w:r>
    </w:p>
    <w:p>
      <w:pPr>
        <w:pStyle w:val="ListBullet"/>
      </w:pPr>
      <w:r>
        <w:t>Article 46 Testing; Previous legislation/guidelines: • EudraLex Volume 4, Part II: 11.2.</w:t>
      </w:r>
    </w:p>
    <w:p>
      <w:pPr>
        <w:pStyle w:val="ListBullet"/>
      </w:pPr>
      <w:r>
        <w:t>Article 47 Certificates of analysis; Previous legislation/guidelines: • EudraLex Volume 4, Part II: 11.4.</w:t>
      </w:r>
    </w:p>
    <w:p>
      <w:pPr>
        <w:pStyle w:val="ListBullet"/>
      </w:pPr>
      <w:r>
        <w:t>Article 48 On-going stability monitoring programme; Previous legislation/guidelines: • EudraLex Volume 4, Part II: 11.5.</w:t>
      </w:r>
    </w:p>
    <w:p>
      <w:pPr>
        <w:pStyle w:val="ListBullet"/>
      </w:pPr>
      <w:r>
        <w:t>Article 49 Expiry and retest dating; Previous legislation/guidelines: • EudraLex Volume 4, Part II: 11.6.</w:t>
      </w:r>
    </w:p>
    <w:p>
      <w:pPr>
        <w:pStyle w:val="ListBullet"/>
      </w:pPr>
      <w:r>
        <w:t>Article 50 Retention of samples; Previous legislation/guidelines: • EudraLex Volume 4, Part II: 11.7.</w:t>
      </w:r>
    </w:p>
    <w:p>
      <w:pPr>
        <w:pStyle w:val="ListBullet"/>
      </w:pPr>
      <w:r>
        <w:t>Article 51 Validation policy and methodology; Previous legislation/guidelines: • EudraLex Volume 4, Part II: 12.1.</w:t>
      </w:r>
    </w:p>
    <w:p>
      <w:pPr>
        <w:pStyle w:val="ListBullet"/>
      </w:pPr>
      <w:r>
        <w:t>Article 52 Validation documentation; Previous legislation/guidelines: • EudraLex Volume 4, Part II: 12.2.</w:t>
      </w:r>
    </w:p>
    <w:p>
      <w:pPr>
        <w:pStyle w:val="ListBullet"/>
      </w:pPr>
      <w:r>
        <w:t>Article 53 Qualification; Previous legislation/guidelines: • EudraLex Volume 4, Part II: 12.3.</w:t>
      </w:r>
    </w:p>
    <w:p>
      <w:pPr>
        <w:pStyle w:val="ListBullet"/>
      </w:pPr>
      <w:r>
        <w:t>Article 54 Process validation; Previous legislation/guidelines: • EudraLex Volume 4, Part II: 12.4.</w:t>
      </w:r>
    </w:p>
    <w:p>
      <w:pPr>
        <w:pStyle w:val="ListBullet"/>
      </w:pPr>
      <w:r>
        <w:t>Article 55 Process validation program; Previous legislation/guidelines: • EudraLex Volume 4, Part II: 12.5.</w:t>
      </w:r>
    </w:p>
    <w:p>
      <w:pPr>
        <w:pStyle w:val="ListBullet"/>
      </w:pPr>
      <w:r>
        <w:t>Article 56 Periodic review of validated systems; Previous legislation/guidelines: • EudraLex Volume 4, Part II: 12.6.</w:t>
      </w:r>
    </w:p>
    <w:p>
      <w:pPr>
        <w:pStyle w:val="ListBullet"/>
      </w:pPr>
      <w:r>
        <w:t>Article 57 Cleaning validation; Previous legislation/guidelines: • EudraLex Volume 4, Part II: 12.7.</w:t>
      </w:r>
    </w:p>
    <w:p>
      <w:pPr>
        <w:pStyle w:val="ListBullet"/>
      </w:pPr>
      <w:r>
        <w:t>Article 58 Validation of analytical methods; Previous legislation/guidelines: • EudraLex Volume 4, Part II: 12.8.</w:t>
      </w:r>
    </w:p>
    <w:p>
      <w:pPr>
        <w:pStyle w:val="ListBullet"/>
      </w:pPr>
      <w:r>
        <w:t>Article 59 General requirements for change control; Previous legislation/guidelines: • EudraLex Volume 4, Part II: 13.</w:t>
      </w:r>
    </w:p>
    <w:p>
      <w:pPr>
        <w:pStyle w:val="ListBullet"/>
      </w:pPr>
      <w:r>
        <w:t>Article 60 Rejection; Previous legislation/guidelines: • EudraLex Volume 4, Part II: 14.1.</w:t>
      </w:r>
    </w:p>
    <w:p>
      <w:pPr>
        <w:pStyle w:val="ListBullet"/>
      </w:pPr>
      <w:r>
        <w:t>Article 61 Reprocessing; Previous legislation/guidelines: • EudraLex Volume 4, Part II: 14.2.</w:t>
      </w:r>
    </w:p>
    <w:p>
      <w:pPr>
        <w:pStyle w:val="ListBullet"/>
      </w:pPr>
      <w:r>
        <w:t>Article 62 Reworking; Previous legislation/guidelines: • EudraLex Volume 4, Part II: 14.3.</w:t>
      </w:r>
    </w:p>
    <w:p>
      <w:pPr>
        <w:pStyle w:val="ListBullet"/>
      </w:pPr>
      <w:r>
        <w:t>Article 63 Recovery of materials and solvents; Previous legislation/guidelines: • EudraLex Volume 4, Part II: 14.4.</w:t>
      </w:r>
    </w:p>
    <w:p>
      <w:pPr>
        <w:pStyle w:val="ListBullet"/>
      </w:pPr>
      <w:r>
        <w:t>Article 64 Returns; Previous legislation/guidelines: • EudraLex Volume 4, Part II: 14.5.</w:t>
      </w:r>
    </w:p>
    <w:p>
      <w:pPr>
        <w:pStyle w:val="ListBullet"/>
      </w:pPr>
      <w:r>
        <w:t>Article 65 Procedures for complaints and recalls for manufacturers; Previous legislation/guidelines: • EudraLex Volume 4, Part II: 15.</w:t>
      </w:r>
    </w:p>
    <w:p>
      <w:pPr>
        <w:pStyle w:val="ListBullet"/>
      </w:pPr>
      <w:r>
        <w:t>Article 66 Requirements for outsourced activities; Previous legislation/guidelines: • EudraLex Volume 4, Part II: 16.</w:t>
      </w:r>
    </w:p>
    <w:p>
      <w:pPr>
        <w:pStyle w:val="ListBullet"/>
      </w:pPr>
      <w:r>
        <w:t>Article 67 Traceability of active substances and intermediates; Previous legislation/guidelines: • EudraLex Volume 4, Part II: 17.2.</w:t>
      </w:r>
    </w:p>
    <w:p>
      <w:pPr>
        <w:pStyle w:val="ListBullet"/>
      </w:pPr>
      <w:r>
        <w:t>Article 68 Quality management; Previous legislation/guidelines: • EudraLex Volume 4, Part II: 17.3.</w:t>
      </w:r>
    </w:p>
    <w:p>
      <w:pPr>
        <w:pStyle w:val="ListBullet"/>
      </w:pPr>
      <w:r>
        <w:t>Article 69 Stability studies; Previous legislation/guidelines: • EudraLex Volume 4, Part II: 17.5.</w:t>
      </w:r>
    </w:p>
    <w:p>
      <w:pPr>
        <w:pStyle w:val="ListBullet"/>
      </w:pPr>
      <w:r>
        <w:t>Article 70 Transfer of information; Previous legislation/guidelines: • EudraLex Volume 4, Part II: 17.6.</w:t>
      </w:r>
    </w:p>
    <w:p>
      <w:pPr>
        <w:pStyle w:val="ListBullet"/>
      </w:pPr>
      <w:r>
        <w:t>Article 72 general requirements for active substances manufactured by cell culture or fermentation; Previous legislation/guidelines: • EudraLex Volume 4, Part II: 18.1.</w:t>
      </w:r>
    </w:p>
    <w:p>
      <w:pPr>
        <w:pStyle w:val="ListBullet"/>
      </w:pPr>
      <w:r>
        <w:t>Article 72 Cell bank maintenance and record keeping; Previous legislation/guidelines: • EudraLex Volume 4, Part II: 18.2.</w:t>
      </w:r>
    </w:p>
    <w:p>
      <w:pPr>
        <w:pStyle w:val="ListBullet"/>
      </w:pPr>
      <w:r>
        <w:t>Article 73 Cell culture or fermentation; Previous legislation/guidelines: • EudraLex Volume 4, Part II: 18.3.</w:t>
      </w:r>
    </w:p>
    <w:p>
      <w:pPr>
        <w:pStyle w:val="ListBullet"/>
      </w:pPr>
      <w:r>
        <w:t>Article 74 Harvesting, isolation and purification; Previous legislation/guidelines: • EudraLex Volume 4, Part II: 18.4.</w:t>
      </w:r>
    </w:p>
    <w:p>
      <w:pPr>
        <w:pStyle w:val="ListBullet"/>
      </w:pPr>
      <w:r>
        <w:t>Article 75 Viral removal and inactivation steps; Previous legislation/guidelines: • EudraLex Volume 4, Part II: 18.5.</w:t>
      </w:r>
    </w:p>
    <w:p>
      <w:pPr>
        <w:pStyle w:val="ListBullet"/>
      </w:pPr>
      <w:r>
        <w:t>Article 76 Active substance gases; Previous legislation/guidelines: • EudraLex Volume 4, Annex 6, point 3.</w:t>
      </w:r>
    </w:p>
    <w:p>
      <w:pPr>
        <w:pStyle w:val="ListBullet"/>
      </w:pPr>
      <w:r>
        <w:t>Article 77 Entry into force and application; Previous legislation/guidelines: new.</w:t>
      </w:r>
    </w:p>
    <w:p>
      <w:pPr>
        <w:pStyle w:val="ListBullet"/>
      </w:pPr>
      <w:r>
        <w:t>ANNEX Starting point of manufacture of active substances; Previous legislation/guidelines: • Volume 4 Part II: Table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Tierarzneimittel Korrespondenztabelle DVO 2025-2154 (EN)</dc:title>
  <dc:subject>https://health.ec.europa.eu/document/download/2b77b613-456b-43e7-a63c-123720cf75a5_en?filename=mp_gmp_active-substances_vetmedproducts_correspondence_en.pdf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