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Tierarzneimittel Verordnung (EU) 2019-6 (2 von 12) Kap I-II GEGENSTAND, ANWENDUNGSBEREICH, ZULASSUNGEN</w:t>
      </w:r>
    </w:p>
    <w:p>
      <w:r>
        <w:t>Quelle: Amtsblatt der EU, CELEX 32019R0006, https://eur-lex.europa.eu/legal-content/DE/TXT/?uri=CELEX:32019R0006</w:t>
      </w:r>
    </w:p>
    <w:p>
      <w:pPr>
        <w:pStyle w:val="Heading1"/>
      </w:pPr>
      <w:r>
        <w:t>Erwägungsgründe (Fortsetzung)</w:t>
      </w:r>
    </w:p>
    <w:p>
      <w:r>
        <w:t>(82) Wenn ein Arzneimittel in einem Mitgliedstaat zugelassen ist und in diesem Mitgliedstaat von einem Tierarzt für ein bestimmtes Tier oder eine bestimmte Gruppe von Tieren verschrieben wurde, sollte eine Anerkennung der Verschreibung und die Abgabe des Arzneimittels in einem anderen Mitgliedstaat grundsätzlich möglich sein. Die Beseitigung regulatorischer und administrativer Hindernisse für eine solche Anerkennung sollte sich nicht darauf auswirken, dass die Tierärzte möglicherweise berufsständisch oder ethisch verpflichtet sind, die Abgabe der in der Verschreibung genannten Arzneimittel zu verweigern.</w:t>
      </w:r>
    </w:p>
    <w:p>
      <w:r>
        <w:t>(83) Die Durchführung des Grundsatzes der Anerkennung von tierärztlichen Verschreibungen sollte durch die Festlegung einer Musterverschreibung für Tierärzte erleichtert werden, die alle wesentlichen Informationen enthält, die erforderlich sind, um die sichere und wirksame Verwendung des Arzneimittels zu gewährleisten. Die Mitgliedstaaten sollten nicht daran gehindert werden, in ihre tierärztlichen Verschreibungen weitere Angaben aufzunehmen, solange dies nicht einer Anerkennung von tierärztlichen Verschreibungen aus anderen Mitgliedstaaten entgegensteht.</w:t>
      </w:r>
    </w:p>
    <w:p>
      <w:r>
        <w:t>(84) Informationen über Tierarzneimittel sind wesentlich, damit Gesundheitsberufe, Behörden und Unternehmen sachkundige Entscheidungen treffen können. Ein zentraler Aspekt ist die Schaffung einer Datenbank der Union, in der Informationen über die in der Union gewährten Marktzulassungen zusammengetragen werden. Diese Datenbank sollte die Transparenz insgesamt verbessern, den Informationsfluss zwischen Behörden kanalisieren und fördern sowie verhindern, dass Meldungen an verschiedene Stellen erforderlich sind.</w:t>
      </w:r>
    </w:p>
    <w:p>
      <w:r>
        <w:t>(85) Die Überprüfung der Einhaltung der Rechtsvorschriften durch Kontrollen ist von wesentlicher Bedeutung, um sicherzustellen, dass die mit dieser Verordnung verfolgten Ziele in der gesamten Union effektiv erreicht werden. Die zuständigen Behörden der Mitgliedstaaten sollten daher befugt sein, auf allen Stufen der Produktion und der Verwendung von Tierarzneimitteln und des Handels mit ihnen Kontrollen durchzuführen. Um die Wirksamkeit der Kontrollen zu wahren, sollten die zuständigen Behörden die Möglichkeit haben, diese unangekündigt durchzuführen.</w:t>
      </w:r>
    </w:p>
    <w:p>
      <w:r>
        <w:t>(86) Die Kontrollhäufigkeit sollte von den zuständigen Behörden mit Blick auf das Risiko und das in unterschiedlichen Situationen erwartete Maß an Einhaltung von Vorschriften festgelegt werden. Dieser Ansatz sollte es diesen zuständigen Behörden erlauben, die Ressourcen dort einzusetzen, wo das Risiko am größten ist. In einigen Fällen sollten jedoch Kontrollen unabhängig vom Risiko oder der erwarteten Abweichung von Vorschriften durchgeführt werden, beispielsweise vor der Erteilung einer Herstellungserlaubnis.</w:t>
      </w:r>
    </w:p>
    <w:p>
      <w:r>
        <w:t>(87) In bestimmten Fällen können Mängel im Kontrollsystem von Mitgliedstaaten das Erreichen der mit dieser Verordnung verfolgten Ziele erheblich behindern und womöglich Risiken für die Gesundheit von Mensch und Tier und für die Umwelt verursachen. Damit ein harmonisierter Ansatz für die Kontrollen in der gesamten Union gewährleistet ist, sollte die Kommission in den Mitgliedstaaten Audits durchführen können, um das Funktionieren der nationalen Kontrollsysteme zu überprüfen. Diese Audits sollten so durchgeführt werden, dass kein unnötiger Verwaltungsaufwand entsteht, und sie sollten nach Möglichkeit mit den Mitgliedstaaten und mit allen anderen Audits der Kommission abgestimmt werden, die gemäß Verordnung (EU) 2017/625 des Europäischen Parlaments und des Rates durchzuführen sind.</w:t>
      </w:r>
    </w:p>
    <w:p>
      <w:r>
        <w:t>(88) Um bei der Durchführung dieser Verordnung durch die Mitgliedstaaten Transparenz, Unparteilichkeit und Einheitlichkeit zu gewährleisten, ist es erforderlich, dass die Mitgliedstaaten ein geeignetes Sanktionssystem schaffen, in dessen Rahmen wirksame, verhältnismäßige und abschreckende Sanktionen für Verstöße gegen diese Verordnung verhängt werden können, da Verstöße einen Schaden für die öffentliche und die Tiergesundheit und für die Umwelt nach sich ziehen können.</w:t>
      </w:r>
    </w:p>
    <w:p>
      <w:r>
        <w:t>(89) Unternehmen und Behörden müssen oft eine Unterscheidung treffen zwischen Tierarzneimitteln, Futtermittelzusatzstoffen, Bioziden und anderen Produkten. Um eine uneinheitliche Behandlung solcher Produkte zu vermeiden, die Rechtssicherheit zu erhöhen und den Entscheidungsfindungsprozess der Mitgliedstaaten zu fördern, sollte eine Koordinierungsgruppe der Mitgliedstaaten eingesetzt werden; eine ihrer Aufgaben sollte es sein, von Fall zu Fall eine Empfehlung abzugeben, ob ein Produkt als Tierarzneimittel definiert werden kann. Damit Rechtssicherheit gewährleistet ist, kann die Kommission entscheiden, ob ein bestimmtes Produkt ein Tierarzneimittel ist.</w:t>
      </w:r>
    </w:p>
    <w:p>
      <w:r>
        <w:t>(90) Mit Blick auf die besonderen Merkmale homöopathischer Tierarzneimittel, vor allem die Bestandteile dieser Produkte, ist es wünschenswert, ein besonderes, vereinfachtes Verfahren für die Registrierung einzurichten, und die Packungsbeilagen bei bestimmten homöopathischen Tierarzneimitteln, die ohne Anwendungsgebiete in Verkehr gebracht werden, gesondert zu regeln. Die Qualität homöopathischer Arzneimittel ist unabhängig von ihrer Verwendung, weshalb keine besonderen Bestimmungen für die erforderlichen Qualitätsanforderungen an solche Produkte gelten sollten. Auch wenn die Verwendung homöopathischer Tierarzneimittel, die gemäß dieser Verordnung zugelassen wurden, genauso geregelt ist wie die Verwendung anderer zugelassener Tierarzneimittel, wird die Verwendung registrierter homöopathischer Tierarzneimittel durch diese Verordnung nicht geregelt. Die Verwendung solcher registrierten homöopathischer Tierarzneimittel unterliegt dem nationalen Recht, und zwar auch im Fall von homöopathischen Tierarzneimitteln, die gemäß der Richtlinie 2001/83/EG des Europäischen Parlaments und des Rates registriert sind.</w:t>
      </w:r>
    </w:p>
    <w:p>
      <w:r>
        <w:t>(91) Zum Schutz der öffentlichen und der Tiergesundheit sowie der Umwelt sollten die der Agentur mit dieser Verordnung übertragenen Aktivitäten, Dienstleistungen und Aufgaben angemessen finanziert werden. Diese Aktivitäten, Dienstleistungen und Aufgaben sollten über durch die Agentur von den Unternehmen erhobene Gebühren finanziert werden. Die Mitgliedstaaten sollten aber weiterhin das Recht haben, Gebühren für auf nationaler Ebene ausgeführte Tätigkeiten und Aufgaben zu erheben.</w:t>
      </w:r>
    </w:p>
    <w:p>
      <w:r>
        <w:t>(92) Es ist allgemein anerkannt, dass die bestehenden Anforderungen an die technischen Unterlagen zu Qualität, Sicherheit und Wirksamkeit von Tierarzneimitteln, die bei der Beantragung einer Zulassung in Anhang I der Richtlinie 2001/82/EG (zuletzt geändert durch die Richtlinie 2009/9/EG der Kommission) vorzulegen sind, in der Praxis ausreichend gut funktionieren. Daher ist es nicht unbedingt notwendig, wesentliche Änderungen an diesen Anforderungen vorzunehmen. Diese Anforderungen müssen jedoch angepasst werden, um den festgestellten Abweichungen vom internationalen wissenschaftlichen Fortschritt und den neuesten Entwicklungen, einschließlich der Leitlinien von VICH, der WHO sowie der Standards der Organisation für wirtschaftliche Zusammenarbeit und Entwicklung (OECD), Rechnung zu tragen, wobei auch die Notwendigkeit zu berücksichtigen ist, eigens Anforderungen für neuartige Therapien mit Tierarzneimitteln festzulegen, ohne dass die geltenden Vorschriften dadurch wesentlich überabreitet werden und vor allem ihre Struktur nicht geändert wird.</w:t>
      </w:r>
    </w:p>
    <w:p>
      <w:r>
        <w:t>(93) Damit die vorliegende Verordnung unter anderem an die wissenschaftlichen Entwicklungen des Sektors angepasst wird, damit die Kommission ihre Aufsichtsbefugnisse wirksam ausüben kann und harmonisierte Standards in der Union eingeführt werden können, sollte der Kommission die Befugnis übertragen werden, Rechtsakte gemäß Artikel 290 AEUV zu erlassen, um Kriterien für die Bestimmung der antimikrobiellen Wirkstoffe, die für die Behandlung bestimmter Infektionen beim Menschen vorbehalten bleiben müssen, festzulegen; die Anforderungen für die Erhebung von Daten über antimikrobielle Arzneimittel sowie Regeln für die Verfahren zur Datenerhebung und Qualitätssicherung zu bestimmen; die Regeln zu schaffen, mit denen eine wirksame und sichere Anwendung von Tierarzneimitteln sichergestellt werden soll, die für die orale Verabreichung auf anderem Wege als Arzneifuttermittel zugelassen und verschrieben wurden; Einzelheiten für den Inhalt und das Format der Angaben in Bezug auf Equide im einzigen, lebenslang gültigen Identifizierungsdokument festzulegen; die Bestimmungen über die Wartezeit im Hinblick auf neue wissenschaftliche Erkenntnisse zu ändern; die erforderlichen genauen Bestimmungen zur Anwendung der Bestimmungen über das Verbot der Verabreichung antimikrobieller Arzneimittel an Tiere, um ihr Wachstum zu fördern oder den Ertrag zu erhöhen, und der Verwendung bestimmter antimikrobieller Arzneimittel durch Unternehmen in Drittstaaten zu erlassen; das Verfahren für die Verhängung von Geldbußen oder Zwangsgeldern sowie die Bedingungen und Methoden für ihre Einziehung festzulegen; und Anhang II zu ändern, damit (i) die Anforderungen an die technischen Unterlagen zu Qualität, Unbedenklichkeit und Wirksamkeit von Tierarzneimitteln an den Fortschritt in Technik und Wissenschaft angepasst werden und (ii) er detailliert genug ist, um Rechtsicherheit und Vereinheitlichung sicherzustellen sowie nötige Aktualisierungen vorzunehmen.Es ist von besonderer Bedeutung, dass die Kommission im Zuge ihrer Vorbereitungsarbeit angemessene Konsultationen, auch auf der Ebene von Sachverständigen, durchführt, die mit den Grundsätzen in Einklang stehen, die in der Interinstitutionellen Vereinbarung vom 13. April 2016 über bessere Rechtsetzung niedergelegt wurden. Um insbesondere für eine gleichberechtigte Beteiligung an der Ausarbeitung delegierter Rechtsakte zu sorgen, erhalten das Europäische Parlament und der Rat alle Dokumente zur gleichen Zeit wie die Sachverständigen der Mitgliedstaaten, und ihre Sachverständigen haben systematisch Zugang zu den Sitzungen der Sachverständigengruppen der Kommission, die mit der Ausarbeitung der delegierten Rechtsakte befasst sind.</w:t>
      </w:r>
    </w:p>
    <w:p>
      <w:r>
        <w:t>(94) Zur Gewährleistung einheitlicher Bedingungen für die Durchführung dieser Verordnung sollten der Kommission Durchführungsbefugnisse übertragen werden. Diese Befugnisse sollten gemäß der Verordnung (EU) Nr. 182/2011 des Europäischen Parlaments und des Rates ausgeübt werden.</w:t>
      </w:r>
    </w:p>
    <w:p>
      <w:r>
        <w:t>(95) Tierärzte, die Dienstleistungen in einem anderen Mitgliedstaat anbieten, sollten die dort jeweils geltenden nationalen Vorschriften gemäß der Richtlinie 2005/36/EG des Europäischen Parlaments und des Rates und der Richtlinie 2006/123/EG des Europäischen Parlaments und des Rates befolgen.</w:t>
      </w:r>
    </w:p>
    <w:p>
      <w:r>
        <w:t>(96) Unter Berücksichtigung der wesentlichen Änderungen, die an den geltenden Bestimmungen vorgenommen werden sollten und mit Blick auf das Ziel, das Funktionieren des Binnenmarktes zu verbessern, ist eine Verordnung das geeignete Rechtsinstrument, um die Richtlinie 2001/82/EG zu ersetzen und klare, ausführliche und direkt anwendbare Bestimmungen zu erhalten. Außerdem gewährleistet eine Verordnung, dass rechtliche Bestimmungen in der gesamten Union gleichzeitig und in harmonisierter Weise durchgeführt werden.</w:t>
      </w:r>
    </w:p>
    <w:p>
      <w:r>
        <w:t>(97) Da das Ziel dieser Verordnung, nämlich zum Schutz der Gesundheit von Mensch und Tier sowie der Umwelt Bestimmungen über Tierarzneimittel festzulegen und das Funktionieren des Binnenmarktes zu verbessern, auf Ebene der Mitgliedstaaten nicht ausreichend verwirklicht werden kann und daher wegen ihrer Wirkungen besser auf Unionsebene zu verwirklichen ist, kann die Union im Einklang mit dem Subsidiaritätsprinzip gemäß Artikel 5 des Vertrags über die Europäische Union tätig werden. Entsprechend dem in demselben Artikel genannten Verhältnismäßigkeitsprinzip geht diese Verordnung nicht über das für die Erreichung dieser Ziele erforderliche Maß hinaus —</w:t>
      </w:r>
    </w:p>
    <w:p>
      <w:r>
        <w:t>HABEN FOLGENDE VERORDNUNG ERLASSEN:</w:t>
      </w:r>
    </w:p>
    <w:p>
      <w:pPr>
        <w:pStyle w:val="Heading1"/>
      </w:pPr>
      <w:r>
        <w:t>KAPITEL I GEGENSTAND, ANWENDUNGSBEREICH UND BEGRIFFSBESTIMMUNGEN:</w:t>
      </w:r>
    </w:p>
    <w:p>
      <w:pPr>
        <w:pStyle w:val="Heading2"/>
      </w:pPr>
      <w:r>
        <w:t>Artikel 1 Gegenstand</w:t>
      </w:r>
    </w:p>
    <w:p>
      <w:r>
        <w:t>Mit dieser Verordnung werden Inverkehrbringen, Herstellung, Einfuhr, Ausfuhr, Abgabe, Vertrieb, Pharmakovigilanz, Kontrolle und Verwendung von Tierarzneimitteln geregelt.</w:t>
      </w:r>
    </w:p>
    <w:p>
      <w:pPr>
        <w:pStyle w:val="Heading2"/>
      </w:pPr>
      <w:r>
        <w:t>Artikel 2 Anwendungsbereich</w:t>
      </w:r>
    </w:p>
    <w:p>
      <w:r>
        <w:t>(1) Diese Verordnung gilt für Tierarzneimittel, die gewerblich zubereitet wurden, oder bei deren Zubereitung ein industrielles Verfahren angewendet wurde, und die in Verkehr gebracht werden sollen.</w:t>
      </w:r>
    </w:p>
    <w:p>
      <w:r>
        <w:t>(2) Zusätzlich zu den in Absatz 1 des vorliegenden Artikels genannten Produkten gelten die Artikel 94 und 95 auch für Wirkstoffe, die als Ausgangsmaterial für Tierarzneimittel verwendet werden.</w:t>
      </w:r>
    </w:p>
    <w:p>
      <w:r>
        <w:t>(3) Zusätzlich zu den in Absatz 1 dieses Artikels genannten Produkten gelten die Artikel 94, 105, 108, 117, 120, 123 und 134 auch für inaktivierte immunologische Tierarzneimittel, die auf der Basis von — aus einem zu einer epidemiologischen Einheit gehörenden Tier oder Tieren — isolierten pathogenen Organismen und Antigenen hergestellt und für die Behandlung dieses Tieres oder dieser Tiere in derselben epidemiologischen Einheit oder für die Behandlung eines oder mehrerer Tiere eines Bestands mit einer gesicherten epidemiologischen Verbindung verwendet werden.</w:t>
      </w:r>
    </w:p>
    <w:p>
      <w:r>
        <w:t>(4) Abweichend von Absatz 1 und Absatz 2 des vorliegenden Artikels gelten nur die Artikel 55, 56, 94, 117, 119, 123 und 134 sowie Kapitel IV Abschnitt 5 für gemäß Artikel 5 Absatz 6 zugelassene Tierarzneimittel.</w:t>
      </w:r>
    </w:p>
    <w:p>
      <w:r>
        <w:t>(5) Abweichend von Absatz 1 des vorliegenden Artikels gelten die Artikel 5 bis 15, 17 bis 33, 35 bis 54, 57 bis 72, 82 bis 84, 95, 98, 106, 107, 110, 112 bis 116, 128, 130 und 136 nicht für homöopathische Tierarzneimittel, die gemäß Artikel 86 registriert sind.</w:t>
      </w:r>
    </w:p>
    <w:p>
      <w:r>
        <w:t>(6) Zusätzlich zu den in Absatz 1 des vorliegenden Artikels genannten Produkten gilt Kapitel VII außerdem für:</w:t>
      </w:r>
    </w:p>
    <w:p>
      <w:r>
        <w:t>a) Stoffe, die anabole, infektionshemmende, antiparasitäre, entzündungshemmende, hormonale, narkotisierende oder psychotrope Eigenschaften aufweisen und die bei Tieren verwendet werden dürfen;</w:t>
      </w:r>
    </w:p>
    <w:p>
      <w:r>
        <w:t>b) Tierarzneimittel, die in einer Apotheke oder von einer nach nationalem Recht hierzu befugten Person nach tierärztlicher Verschreibung für ein bestimmtes Tier oder eine kleine Gruppe von Tieren zubereitet wurden („ formula magistralis “);</w:t>
      </w:r>
    </w:p>
    <w:p>
      <w:r>
        <w:t>c) Tierarzneimittel, die in einer Apotheke nach Vorschrift eines Arzneibuchs zubereitet wurden und für die unmittelbare Abgabe an den Endverbraucher bestimmt sind („ formula officinalis “). Diese „ formula officinalis “ bedarf einer tierärztlichen Verschreibung, wenn sie für — der Lebensmittelgewinnung dienende — Tiere gedacht ist.</w:t>
      </w:r>
    </w:p>
    <w:p>
      <w:r>
        <w:t>(7) Diese Verordnung gilt nicht für</w:t>
      </w:r>
    </w:p>
    <w:p>
      <w:r>
        <w:t>a) Tierarzneimittel, die autologe oder allogene Zellen oder Gewebe enthalten, die keinem industriellen Prozess unterzogen wurden,</w:t>
      </w:r>
    </w:p>
    <w:p>
      <w:r>
        <w:t>b) Tierarzneimittel auf der Basis radioaktiver Isotope,</w:t>
      </w:r>
    </w:p>
    <w:p>
      <w:r>
        <w:t>c) Futtermittel-Zusatzstoffe gemäß Artikel 2 Absatz 2 Buchstabe a der Verordnung (EG) Nr. 1831/2003 des Europäischen Parlaments und des Rates;</w:t>
      </w:r>
    </w:p>
    <w:p>
      <w:r>
        <w:t>d) Tierarzneimittel, die für Versuche in Forschung und Entwicklung bestimmt sind,</w:t>
      </w:r>
    </w:p>
    <w:p>
      <w:r>
        <w:t>e) Arzneifuttermittel und Zwischenerzeugnisse nach Artikel 3 Absatz 2 Buchstabe a und b der Verordnung (EU) 2019/4 des Europäischen Parlaments und des Rates;</w:t>
      </w:r>
    </w:p>
    <w:p>
      <w:r>
        <w:t>(8) Diese Verordnung lässt mit Ausnahme des zentralisierten Zulassungsverfahrens die nationalen Gebührenbestimmungen unberührt.</w:t>
      </w:r>
    </w:p>
    <w:p>
      <w:r>
        <w:t>(9) Diese Verordnung hindert einen Mitgliedstaat nicht daran, in seinem Hoheitsgebiet nationale Kontrollmaßnahmen für Suchtstoffe und psychotrope Stoffe beizubehalten oder einzuführen, die er für angebracht hält.</w:t>
      </w:r>
    </w:p>
    <w:p>
      <w:pPr>
        <w:pStyle w:val="Heading2"/>
      </w:pPr>
      <w:r>
        <w:t>Artikel 3 Kollisionsnorm</w:t>
      </w:r>
    </w:p>
    <w:p>
      <w:r>
        <w:t>(1) Fällt ein Tierarzneimittel gemäß Artikel 2 Absatz 1 der vorliegenden Verordnung gleichzeitig in den Geltungsbereich der Verordnung (EU) Nr. 528/2012 des Europäischen Parlaments und des Rates oder der Verordnung (EG) Nr. 1831/2003 und ergibt sich ein Konflikt zwischen der vorliegenden Verordnung und der Verordnung (EU) Nr. 528/2012 oder der Verordnung (EG) Nr. 1831/2003, so hat die vorliegende Verordnung Vorrang.</w:t>
      </w:r>
    </w:p>
    <w:p>
      <w:r>
        <w:t>(2) Für die Zwecke von Absatz 1 des vorliegenden Artikels kann die Kommission mittels Durchführungsrechtsakten bestimmen, ob ein spezifisches Erzeugnis oder eine Gruppe von Erzeugnissen als Tierarzneimittel einzustufen ist. Diese Durchführungsrechtsakte werden nach dem in Artikel 145 Absatz 2 genannten Prüfverfahren erlassen.</w:t>
      </w:r>
    </w:p>
    <w:p>
      <w:pPr>
        <w:pStyle w:val="Heading2"/>
      </w:pPr>
      <w:r>
        <w:t>Artikel 4 Begriffsbestimmungen</w:t>
      </w:r>
    </w:p>
    <w:p>
      <w:r>
        <w:t>Für die Zwecke dieser Verordnung bezeichnet der Ausdruck</w:t>
      </w:r>
    </w:p>
    <w:p>
      <w:r>
        <w:t>1. „Tierarzneimittel“ alle Stoffe oder Stoffzusammenstellungen, die mindestens eine der nachstehenden Voraussetzungen erfüllen:</w:t>
      </w:r>
    </w:p>
    <w:p>
      <w:r>
        <w:t>a) Sie sind zur Heilung oder zur Verhütung von Tierkrankheiten bestimmt;</w:t>
      </w:r>
    </w:p>
    <w:p>
      <w:r>
        <w:t>b) sie sind dazu bestimmt, im oder am tierischen Körper angewendet oder einem Tier verabreicht zu werden, um entweder die physiologischen Funktionen durch eine pharmakologische, immunologische oder metabolische Wirkung wiederherzustellen, zu korrigieren oder zu beeinflussen;</w:t>
      </w:r>
    </w:p>
    <w:p>
      <w:r>
        <w:t>c) sie sind dazu bestimmt, bei Tieren zum Zweck einer medizinischen Diagnose verwendet zu werden;</w:t>
      </w:r>
    </w:p>
    <w:p>
      <w:r>
        <w:t>d) sie sind zur Euthanasie von Tieren bestimmt;</w:t>
      </w:r>
    </w:p>
    <w:p>
      <w:r>
        <w:t>2. „Stoffe“ alle Stoffe folgenden Ursprungs:</w:t>
      </w:r>
    </w:p>
    <w:p>
      <w:r>
        <w:t>a) menschlichen Ursprungs;</w:t>
      </w:r>
    </w:p>
    <w:p>
      <w:r>
        <w:t>b) tierischen Ursprungs;</w:t>
      </w:r>
    </w:p>
    <w:p>
      <w:r>
        <w:t>c) pflanzlichen Ursprungs;</w:t>
      </w:r>
    </w:p>
    <w:p>
      <w:r>
        <w:t>d) chemischen Ursprungs;</w:t>
      </w:r>
    </w:p>
    <w:p>
      <w:r>
        <w:t>3. „Wirkstoff“ jeder Stoff oder ein Gemisch von Stoffen, der dazu bestimmt ist, bei der Herstellung eines Tierarzneimittels verwendet zu werden und der bzw. das im Falle der Verwendung bei der Herstellung dieses Arzneimittels zu einem seiner wirksamen Bestandteile wird;</w:t>
      </w:r>
    </w:p>
    <w:p>
      <w:r>
        <w:t>4. „Hilfsstoff“ jeder Bestandteil eines Tierarzneimittels mit Ausnahme von Wirkstoffen oder Verpackungsmaterial;</w:t>
      </w:r>
    </w:p>
    <w:p>
      <w:r>
        <w:t>5. „immunologische Tierarzneimittel“ Tierarzneimittel, die dazu bestimmt sind, Tieren verabreicht zu werden, um eine aktive oder passive Immunität zu erzeugen oder um den Immunitätszustand zu diagnostizieren;</w:t>
      </w:r>
    </w:p>
    <w:p>
      <w:r>
        <w:t>6. „biologische Tierarzneimittel“ Tierarzneimittel, bei denen ein Wirkstoff ein biologischer Stoff ist;</w:t>
      </w:r>
    </w:p>
    <w:p>
      <w:r>
        <w:t>7. „biologische Stoffe“ Stoffe, die von einer biologischen Quelle produziert oder aus ihr extrahiert werden und bei denen die Bestimmung ihrer Merkmale und Qualität eine Kombination physikalisch-chemisch-biologischer Tests sowie Kenntnisse des Produktionsprozesses und seiner Kontrolle erfordert;</w:t>
      </w:r>
    </w:p>
    <w:p>
      <w:r>
        <w:t>8. „Referenztierarzneimittel“ ein Tierarzneimittel, das gemäß den in Artikel 5 Absatz 1 genannten Artikeln 44, 47, 49, 52, 53 oder 54 auf Antrag nach Artikel 8 zugelassen ist;</w:t>
      </w:r>
    </w:p>
    <w:p>
      <w:r>
        <w:t>9. „generisches Tierarzneimittel“ ein Tierarzneimittel, das die gleiche qualitative und quantitative Zusammensetzung aus Wirkstoffen und die gleiche Darreichungsform wie das Referenztierarzneimittel aufweist und dessen Bioäquivalenz mit dem Referenztierarzneimittel nachgewiesen wurde;</w:t>
      </w:r>
    </w:p>
    <w:p>
      <w:r>
        <w:t>10. „homöopathische Tierarzneimittel“ Tierarzneimittel, die nach einem — im Europäischen Arzneibuch oder, falls dort nicht enthalten, nach einem in den offiziell gebräuchlichen Arzneibüchern der Mitgliedstaaten beschriebenen — homöopathischen Zubereitungsverfahren aus homöopathischen Ursubstanzen hergestellt worden sind;</w:t>
      </w:r>
    </w:p>
    <w:p>
      <w:r>
        <w:t>11. „antimikrobielle Resistenz“ die Fähigkeit eines Mikroorganismus, in einer Konzentration eines antimikrobiellen Stoffes zu überleben oder zu wachsen, die üblicherweise ausreicht, Mikroorganismen derselben Art zu hemmen oder abzutöten;</w:t>
      </w:r>
    </w:p>
    <w:p>
      <w:r>
        <w:t>12. „antimikrobielle Wirkstoffe“ jeder zur Therapie oder Abwehr von Infektionen oder Infektionskrankheiten eingesetzte Stoff mit unmittelbarer Wirkung auf Mikroorganismen, einschließlich Antibiotika, Virostatika, Antimykotika und Antiprotozoika;</w:t>
      </w:r>
    </w:p>
    <w:p>
      <w:r>
        <w:t>13. „Antiparasitikum“ ein Stoff, der Parasiten abtötet oder ihre Entwicklung unterbricht und zur Behandlung oder Verhütung einer durch Parasiten verursachten oder übertragenen Infektion, eines entsprechenden Befalls oder einer entsprechenden Krankheit verwendet wird, einschließlich Stoffe mit repellierender Wirkung;</w:t>
      </w:r>
    </w:p>
    <w:p>
      <w:r>
        <w:t>14. „Antibiotikum“ jeder Stoff mit unmittelbarer Wirkung auf Bakterien, der zur Therapie oder Abwehr von Infektionen oder Infektionskrankheiten eingesetzt wird;</w:t>
      </w:r>
    </w:p>
    <w:p>
      <w:r>
        <w:t>15. „Metaphylaxe“ die Verabreichung eines Arzneimittels an eine Gruppe von Tieren nach einer Diagnose einer klinischen Erkrankung bei einem Teil der Gruppe mit dem Ziel, die klinisch erkrankten Tiere zu behandeln und die Ausbreitung der Erkrankung auf die Tiere einzudämmen, die in engem Kontakt stehen und gefährdet sind und die möglicherweise bereits subklinisch infiziert sind;</w:t>
      </w:r>
    </w:p>
    <w:p>
      <w:r>
        <w:t>16. „Prophylaxe“ die Verabreichung eines Arzneimittels an ein Tier oder eine Gruppe von Tieren, bevor klinische Anzeichen einer Erkrankung auftreten, um eine Erkrankung oder Infektion zu verhindern;</w:t>
      </w:r>
    </w:p>
    <w:p>
      <w:r>
        <w:t>17. „klinische Prüfung“ eine Studie, die dazu bestimmt ist, unter Feldbedingungen die Sicherheit oder Wirksamkeit eines Tierarzneimittels unter normalen Bedingungen der Tierhaltung oder im Rahmen einer normalen tierärztlichen Praxis zum Zweck der Erlangung einer Zulassung oder die Änderung einer solchen Zulassung zu untersuchen;</w:t>
      </w:r>
    </w:p>
    <w:p>
      <w:r>
        <w:t>18. „vorklinische Studie“ eine Studie, auf die die Definition einer klinischen Prüfung nicht zutrifft und die dazu bestimmt ist, die Sicherheit oder Wirksamkeit eines Tierarzneimittels für die Erlangung einer Zulassung oder die Änderung einer solchen Zulassung zu untersuchen;</w:t>
      </w:r>
    </w:p>
    <w:p>
      <w:r>
        <w:t>19. „Nutzen-Risiko-Bilanz“ eine Bewertung der positiven Wirkung des Tierarzneimittels im Verhältnis zu folgenden Risiken in Zusammenhang mit der Anwendung des Produkts:</w:t>
      </w:r>
    </w:p>
    <w:p>
      <w:r>
        <w:t>a) jedes Risiko im Zusammenhang mit der Qualität, Sicherheit und Wirksamkeit des Tierarzneimittels für die Gesundheit von Mensch oder Tier,</w:t>
      </w:r>
    </w:p>
    <w:p>
      <w:r>
        <w:t>b) jedes Risiko unerwünschter Auswirkungen auf die Umwelt,</w:t>
      </w:r>
    </w:p>
    <w:p>
      <w:r>
        <w:t>c) jedes Risiko im Zusammenhang mit einer Resistenzentwicklung;</w:t>
      </w:r>
    </w:p>
    <w:p>
      <w:r>
        <w:t>20. „gebräuchlicher Name“ der von der Weltgesundheitsorganisation (WHO) empfohlene internationale Freiname für einen Stoff oder in Ermangelung dessen der gemeinhin verwendete Name;</w:t>
      </w:r>
    </w:p>
    <w:p>
      <w:r>
        <w:t>21. „Name des Tierarzneimittels“ entweder ein nicht zu Verwechslungen mit dem gebräuchlichen Namen führender Phantasiename oder ein gebräuchlicher oder wissenschaftlicher Name in Verbindung mit einem Markenzeichen oder dem Namen des Zulassungsinhabers;</w:t>
      </w:r>
    </w:p>
    <w:p>
      <w:r>
        <w:t>22. „Stärke“ der Anteil an Wirkstoffen in einem Tierarzneimittel, ausgedrückt als Menge pro Dosierungs-, Volumen- oder Gewichtseinheit je nach Darreichungsform;</w:t>
      </w:r>
    </w:p>
    <w:p>
      <w:r>
        <w:t>23. „zuständige Behörde“ eine Behörde, die von einem Mitgliedstaat gemäß Artikel 137 benannt wurde;</w:t>
      </w:r>
    </w:p>
    <w:p>
      <w:r>
        <w:t>24. „Kennzeichnung“ auf der Primärverpackung oder der äußeren Umhüllung angebrachte Angaben;</w:t>
      </w:r>
    </w:p>
    <w:p>
      <w:r>
        <w:t>25. „Primärverpackung“ das Behältnis oder jede andere Form der Verpackung, die unmittelbar mit dem Tierarzneimittel in Berührung kommt;</w:t>
      </w:r>
    </w:p>
    <w:p>
      <w:r>
        <w:t>26. „äußere Umhüllung“ die Verpackung, die die Primärverpackung enthält;</w:t>
      </w:r>
    </w:p>
    <w:p>
      <w:r>
        <w:t>27. „Packungsbeilage“ den Beipackzettel zum Tierarzneimittel, der Informationen enthält, um eine sichere und wirksame Verwendung zu gewährleisten;</w:t>
      </w:r>
    </w:p>
    <w:p>
      <w:r>
        <w:t>28. „Zugangsbescheinigung“ ein vom Dateneigner oder seinem Vertreter unterzeichnetes Originaldokument, in dem festgestellt wird, dass die betreffenden Daten gegenüber den zuständigen Behörden, der mit der Verordnung (EG) Nr. 726/2004 eingerichteten Europäischen Arzneimittel-Agentur (im Folgenden „Agentur“) oder der Kommission zum Zwecke dieser Verordnung zum Vorteil des Antragstellers verwendet werden dürfen;</w:t>
      </w:r>
    </w:p>
    <w:p>
      <w:r>
        <w:t>29. „begrenzter Markt“ einen Markt für einen der nachstehenden Arzneimitteltypen:</w:t>
      </w:r>
    </w:p>
    <w:p>
      <w:r>
        <w:t>a) Tierarzneimittel für die Behandlung oder Prävention von Krankheiten, die selten oder geografisch begrenzt auftreten;</w:t>
      </w:r>
    </w:p>
    <w:p>
      <w:r>
        <w:t>b) Tierarzneimittel für andere Tierarten als Rinder, Schafe für die Fleischerzeugung, Schweine, Hühner, Hunde und Katzen;</w:t>
      </w:r>
    </w:p>
    <w:p>
      <w:r>
        <w:t>30. „Pharmakovigilanz“ wissenschaftliche und andere Tätigkeiten im Zusammenhang mit der Erkennung, Bewertung, dem Verständnis und der Verhütung mutmaßlich unerwünschter Ereignisse oder anderer Probleme im Zusammenhang mit einem Arzneimittel;</w:t>
      </w:r>
    </w:p>
    <w:p>
      <w:r>
        <w:t>31. „Pharmakovigilanz-Stammdokumentation“ eine detaillierte Beschreibung des Pharmakovigilanz-Systems, das der Inhaber der Zulassung auf eines oder mehrere zugelassene Tierarzneimittel anwendet;</w:t>
      </w:r>
    </w:p>
    <w:p>
      <w:r>
        <w:t>32. „Kontrolle“ jede Tätigkeit einer zuständigen Behörde zur Überprüfung der Einhaltung dieser Verordnung;</w:t>
      </w:r>
    </w:p>
    <w:p>
      <w:r>
        <w:t>33. „tierärztliche Verschreibung“ ein von einem Tierarzt ausgestelltes Dokument für ein Tierarzneimittel oder ein Humanarzneimittel für dessen Verwendung bei Tieren;</w:t>
      </w:r>
    </w:p>
    <w:p>
      <w:r>
        <w:t>34. „Wartezeit“ der Zeitraum, der zwischen der letzten Verabreichung des Tierarzneimittels an ein Tier und der Erzeugung von Lebensmitteln von diesem Tier mindestens einzuhalten und unter normalen Anwendungsbedingungen erforderlich ist, um sicherzustellen, dass solche Lebensmittel keine Rückstände in einer Konzentration enthalten, die für die öffentliche Gesundheit schädlich ist;</w:t>
      </w:r>
    </w:p>
    <w:p>
      <w:r>
        <w:t>35. „Inverkehrbringen“ die erstmalige Bereitstellung eines Tierarzneimittels auf dem gesamten Unionsmarkt oder in einem oder mehreren Mitgliedstaaten, je nach Anwendbarkeit;</w:t>
      </w:r>
    </w:p>
    <w:p>
      <w:r>
        <w:t>36. „Großhandelsvertrieb“ jede Tätigkeit mit oder ohne Gewinnerzielungsabsicht, die in der Beschaffung, der Lagerung, der Abgabe oder der Ausfuhr von Tierarzneimitteln besteht, mit Ausnahme der Abgabe von Tierarzneimitteln im Einzelhandel an die Öffentlichkeit;</w:t>
      </w:r>
    </w:p>
    <w:p>
      <w:r>
        <w:t>37. „Wassertierart“ in Artikel 4 Absatz 3 der Verordnung (EG) Nr. 2016/429 des Europäischen Parlaments und des Rates genannte Tierart;</w:t>
      </w:r>
    </w:p>
    <w:p>
      <w:r>
        <w:t>38. „der Lebensmittelgewinnung dienende Tiere“ der Lebensmittelgewinnung dienende Tiere im Sinne von Artikel 2 Buchstabe b der Verordnung (EG) Nr. 470/2009;</w:t>
      </w:r>
    </w:p>
    <w:p>
      <w:r>
        <w:t>39. „Änderung“ eine Änderung der Bedingungen für die Zulassung eines Tierarzneimittels gemäß Artikel 36;</w:t>
      </w:r>
    </w:p>
    <w:p>
      <w:r>
        <w:t>40. „Werbung für Tierarzneimittel“ jede Äußerung in Zusammenhang mit Tierarzneimitteln zur Förderung der Abgabe, des Vertriebs, des Verkaufs, der Verschreibung oder der Verwendung von Tierarzneimitteln, einschließlich der Abgabe von Zuwendungen und Werbegaben;</w:t>
      </w:r>
    </w:p>
    <w:p>
      <w:r>
        <w:t>41. „Signalmanagementprozess“ ein Verfahren zur aktiven Überwachung von Pharmakovigilanz-Daten über Tierarzneimittel, mit dem Ziel, die Pharmakovigilanz-Daten zu bewerten und zu ermitteln, ob sich die Nutzen-Risiko-Bilanz von Tierarzneimitteln ändert, mit dem Ziel, Risiken für die öffentliche und die Tiergesundheit sowie auf den Umweltschutz zu entdecken;</w:t>
      </w:r>
    </w:p>
    <w:p>
      <w:r>
        <w:t>42. „potenziell ernsthaftes Risiko für die Gesundheit von Mensch oder Tier oder für die Umwelt“ eine Situation, in der eine erheblich hohe Wahrscheinlichkeit für eine ernste Gefahr besteht, dass die Gesundheit von Mensch oder Tier oder die Umwelt durch die Verwendung eines Tierarzneimittels beeinträchtigt werden;</w:t>
      </w:r>
    </w:p>
    <w:p>
      <w:r>
        <w:t>43. „Tierarzneimittel für neuartige Therapien“</w:t>
      </w:r>
    </w:p>
    <w:p>
      <w:r>
        <w:t>a) ein Tierarzneimittel, das speziell für die Gentherapie, die regenerative Medizin, die Gewebezüchtung, die Blutprodukttherapie oder die Phagentherapie entwickelt wurde;</w:t>
      </w:r>
    </w:p>
    <w:p>
      <w:r>
        <w:t>b) ein Tierarzneimittel aus der Nanotechnologie oder</w:t>
      </w:r>
    </w:p>
    <w:p>
      <w:r>
        <w:t>c) jede andere Therapie, mit der in der Veterinärmedizin Neuland beschritten wird;</w:t>
      </w:r>
    </w:p>
    <w:p>
      <w:r>
        <w:t>44. „epidemiologische Einheit“ eine epidemiologische Einheit im Sinne von Artikel 4 Nummer 39 der Verordnung (EU) 2016/429;</w:t>
      </w:r>
    </w:p>
    <w:p>
      <w:pPr>
        <w:pStyle w:val="Heading1"/>
      </w:pPr>
      <w:r>
        <w:t>KAPITEL II ZULASSUNGEN — ALLGEMEINE BESTIMMUNGEN UND REGELN FÜR DIE ANTRAGSTELLUNG</w:t>
      </w:r>
    </w:p>
    <w:p>
      <w:pPr>
        <w:pStyle w:val="Heading1"/>
      </w:pPr>
      <w:r>
        <w:t>KAPITEL II ZULASSUNGEN — ALLGEMEINE BESTIMMUNGEN UND REGELN FÜR DIE ANTRAGSTELLUNG (Fortsetzung)</w:t>
      </w:r>
    </w:p>
    <w:p>
      <w:pPr>
        <w:pStyle w:val="Heading2"/>
      </w:pPr>
      <w:r>
        <w:t>Abschnitt 1 Allgemeine Bestimmungen</w:t>
      </w:r>
    </w:p>
    <w:p>
      <w:pPr>
        <w:pStyle w:val="Heading1"/>
      </w:pPr>
      <w:r>
        <w:t>KAPITEL II ZULASSUNGEN — ALLGEMEINE BESTIMMUNGEN UND REGELN FÜR DIE ANTRAGSTELLUNG (Fortsetzung)</w:t>
      </w:r>
    </w:p>
    <w:p>
      <w:pPr>
        <w:pStyle w:val="Heading2"/>
      </w:pPr>
      <w:r>
        <w:t>Artikel 5 Zulassungen</w:t>
      </w:r>
    </w:p>
    <w:p>
      <w:r>
        <w:t>(1) Ein Tierarzneimittel darf nur in Verkehr gebracht werden, wenn eine zuständige Behörde bzw. die Kommission eine Zulassung für dieses Mittel, gemäß Artikel 44, 47, 49, 52, 53 oder 54 erteilt hat.</w:t>
      </w:r>
    </w:p>
    <w:p>
      <w:r>
        <w:t>(2) Eine Zulassung für ein Tierarzneimittel gilt unbefristet.</w:t>
      </w:r>
    </w:p>
    <w:p>
      <w:r>
        <w:t>(3) Beschlüsse über die Erteilung, die Versagung, die Aussetzung bzw. das Ruhen oder den Widerruf oder die Änderung einer Zulassung werden veröffentlicht.</w:t>
      </w:r>
    </w:p>
    <w:p>
      <w:r>
        <w:t>(4) Die Zulassung eines Tierarzneimittels kann nur einem in der Union niedergelassenen Antragsteller erteilt werden. Die Anforderung, in der Union niedergelassen zu sein, gilt auch für die Zulassungsinhaber.</w:t>
      </w:r>
    </w:p>
    <w:p>
      <w:r>
        <w:t>(5) Die Zulassung eines Tierarzneimittels für eine oder mehrere der Lebensmittelgewinnung dienende Tierart(en) darf nur erteilt werden, wenn der pharmakologisch wirksame Stoff für die betreffenden Tierarten nach der Verordnung (EG) Nr. 470/2009 und etwaigen auf deren Grundlage erlassenen Vorschriften zulässig ist.</w:t>
      </w:r>
    </w:p>
    <w:p>
      <w:r>
        <w:t>(6) Die Mitgliedstaaten können für Tierarzneimittel, die für ausschließlich als Heimtiere gehaltene Tiere bestimmt sind, bei denen es sich um in Aquarien oder Teichen gehaltene Tiere, Zierfische, Ziervögel, Brieftauben, Terrarium-Tiere, Kleinnager sowie Frettchen und Hauskaninchen handelt, Ausnahmen von dem vorliegenden Artikel zulassen, sofern diese Tierarzneimittel nicht einer tierärztlichen Verschreibungspflicht unterliegen und sofern in dem Mitgliedstaat alle notwendigen Vorkehrungen getroffen werden, um eine missbräuchliche Verwendung dieser Tierarzneimittel für andere Tiere zu verhindern.</w:t>
      </w:r>
    </w:p>
    <w:p>
      <w:pPr>
        <w:pStyle w:val="Heading1"/>
      </w:pPr>
      <w:r>
        <w:t>KAPITEL II ZULASSUNGEN — ALLGEMEINE BESTIMMUNGEN UND REGELN FÜR DIE ANTRAGSTELLUNG (Fortsetzung)</w:t>
      </w:r>
    </w:p>
    <w:p>
      <w:pPr>
        <w:pStyle w:val="Heading2"/>
      </w:pPr>
      <w:r>
        <w:t>Artikel 6 Vorlage von Zulassungsanträgen</w:t>
      </w:r>
    </w:p>
    <w:p>
      <w:r>
        <w:t>(1) Zulassungsanträge werden bei der zuständigen Behörde gestellt, sofern sie die Erteilung einer Zulassung gemäß einem der folgenden Verfahren betreffen:</w:t>
      </w:r>
    </w:p>
    <w:p>
      <w:r>
        <w:t>a) nationales Verfahren gemäß den Artikeln 46 und 47,</w:t>
      </w:r>
    </w:p>
    <w:p>
      <w:r>
        <w:t>b) dezentralisiertes Verfahren gemäß den Artikeln 48 und 49,</w:t>
      </w:r>
    </w:p>
    <w:p>
      <w:r>
        <w:t>c) Verfahren der gegenseitigen Anerkennung gemäß den Artikeln 51 und 52,</w:t>
      </w:r>
    </w:p>
    <w:p>
      <w:r>
        <w:t>d) und das anschließende Anerkennungsverfahren gemäß Artikel 53.</w:t>
      </w:r>
    </w:p>
    <w:p>
      <w:r>
        <w:t>(2) Zulassungsanträge, die die Erteilung einer Zulassung nach dem zentralisierten Zulassungsverfahren gemäß den Artikeln 42 bis 45 betreffen, werden bei der Agentur gestellt.</w:t>
      </w:r>
    </w:p>
    <w:p>
      <w:r>
        <w:t>(3) Anträge gemäß den Absätzen 1 und 2 werden elektronisch gestellt, und die von der Agentur zur Verfügung gestellten Formate sind zu verwenden.</w:t>
      </w:r>
    </w:p>
    <w:p>
      <w:r>
        <w:t>(4) Der Antragsteller ist für die Genauigkeit der eingereichten Angaben und Unterlagen für seinen Antrag verantwortlich.</w:t>
      </w:r>
    </w:p>
    <w:p>
      <w:r>
        <w:t>(5) Die zuständige Behörde bzw. gegebenenfalls die Agentur teilt dem Antragsteller innerhalb von 15 Tagen nach Antragseingang mit, ob alle gemäß Artikel 8 erforderlichen Angaben und Unterlagen eingereicht wurden und ob der Antrag gültig ist.</w:t>
      </w:r>
    </w:p>
    <w:p>
      <w:r>
        <w:t>(6) Ist die zuständige Behörde bzw. gegebenenfalls die Agentur der Auffassung, dass der Antrag unvollständig ist, so teilt sie dies dem Antragsteller mit und setzt eine Frist für die Vorlage der fehlenden Angaben und Unterlagen. Legt der Antragsteller die fehlenden Angaben und Unterlagen nicht innerhalb der gesetzten Frist vor, so gilt der Antrag als zurückgenommen.</w:t>
      </w:r>
    </w:p>
    <w:p>
      <w:r>
        <w:t>(7) Legt der Antragsteller nicht innerhalb von sechs Monaten nach Erhalt der in Artikel 49 Absatz 7, Artikel 52 Absatz 8 oder Artikel 53 Absatz 2 genannten Informationen eine vollständige Übersetzung der erforderlichen Unterlagen vor, so gilt der Antrag als zurückgenommen.</w:t>
      </w:r>
    </w:p>
    <w:p>
      <w:pPr>
        <w:pStyle w:val="Heading1"/>
      </w:pPr>
      <w:r>
        <w:t>KAPITEL II ZULASSUNGEN — ALLGEMEINE BESTIMMUNGEN UND REGELN FÜR DIE ANTRAGSTELLUNG (Fortsetzung)</w:t>
      </w:r>
    </w:p>
    <w:p>
      <w:pPr>
        <w:pStyle w:val="Heading2"/>
      </w:pPr>
      <w:r>
        <w:t>Artikel 7 Sprachenregelung</w:t>
      </w:r>
    </w:p>
    <w:p>
      <w:r>
        <w:t>(1) Die Sprache(n) der Fachinformation sowie der Angaben auf der Etikettierung und der Packungsbeilage ist bzw. sind, sofern der Mitgliedstaat nichts anderes bestimmt, eine Amtssprache oder mehrere Amtssprachen des Mitgliedstaats, in dem das Tierarzneimittel auf dem Markt bereitgestellt wird.</w:t>
      </w:r>
    </w:p>
    <w:p>
      <w:r>
        <w:t>(2) Ein Tierarzneimittel kann in mehreren Sprachen gekennzeichnet werden.</w:t>
      </w:r>
    </w:p>
    <w:p>
      <w:pPr>
        <w:pStyle w:val="Heading1"/>
      </w:pPr>
      <w:r>
        <w:t>KAPITEL II ZULASSUNGEN — ALLGEMEINE BESTIMMUNGEN UND REGELN FÜR DIE ANTRAGSTELLUNG (Fortsetzung)</w:t>
      </w:r>
    </w:p>
    <w:p>
      <w:pPr>
        <w:pStyle w:val="Heading2"/>
      </w:pPr>
      <w:r>
        <w:t>Abschnitt 2 Anforderungen an das Dossier</w:t>
      </w:r>
    </w:p>
    <w:p>
      <w:pPr>
        <w:pStyle w:val="Heading1"/>
      </w:pPr>
      <w:r>
        <w:t>KAPITEL II ZULASSUNGEN — ALLGEMEINE BESTIMMUNGEN UND REGELN FÜR DIE ANTRAGSTELLUNG (Fortsetzung)</w:t>
      </w:r>
    </w:p>
    <w:p>
      <w:pPr>
        <w:pStyle w:val="Heading2"/>
      </w:pPr>
      <w:r>
        <w:t>Artikel 8 Mit dem Antrag vorzulegende Daten</w:t>
      </w:r>
    </w:p>
    <w:p>
      <w:r>
        <w:t>(1) Ein Zulassungsantrag muss Folgendes enthalten:</w:t>
      </w:r>
    </w:p>
    <w:p>
      <w:r>
        <w:t>a) die Informationen gemäß Anhang I,</w:t>
      </w:r>
    </w:p>
    <w:p>
      <w:r>
        <w:t>b) technische Unterlagen, die für den Nachweis der Qualität, Sicherheit und Wirksamkeit des Tierarzneimittels gemäß den Anforderungen des Anhangs II erforderlich sind,</w:t>
      </w:r>
    </w:p>
    <w:p>
      <w:r>
        <w:t>c) eine Zusammenfassung der Pharmakovigilanz-Stammdokumentation.</w:t>
      </w:r>
    </w:p>
    <w:p>
      <w:r>
        <w:t>(2) Betrifft der Antrag ein antimikrobielles Tierarzneimittel, so sind zusätzlich zu den in Absatz 1 genannten Informationen, technischen Unterlagen und der Zusammenfassung folgende Informationen vorzulegen:</w:t>
      </w:r>
    </w:p>
    <w:p>
      <w:r>
        <w:t>a) Unterlagen zu den unmittelbaren oder mittelbaren Risiken für die öffentliche Gesundheit, die Tiergesundheit oder für die Umwelt, die sich aus der Anwendung des antimikrobiellen Tierarzneimittels bei Tieren ergeben,</w:t>
      </w:r>
    </w:p>
    <w:p>
      <w:r>
        <w:t>b) Informationen über Maßnahmen zur Begrenzung des Risikos der Entwicklung antimikrobieller Resistenzen im Zusammenhang mit der Anwendung des Tierarzneimittels.</w:t>
      </w:r>
    </w:p>
    <w:p>
      <w:r>
        <w:t>(3) Betrifft der Antrag ein Tierarzneimittel, das für der Lebensmittelgewinnung dienende Tiere bestimmt ist und pharmakologisch wirksame Stoffe enthält, die gemäß der Verordnung (EG) Nr. 470/2009 und allen anderen auf Grundlage jener Verordnung angenommenen Rechtsakten für die entsprechende Tierart nicht zulässig sind, wird zusätzlich zu den in Absatz 1 des vorliegenden Artikels genannten Informationen, technischen Unterlagen und der Zusammenfassung ein Dokument vorgelegt, mit dem bescheinigt wird, dass bei der Agentur ein gültiger Antrag auf Festsetzung von Rückstandshöchstmengen gemäß jener Verordnung eingereicht wurde.</w:t>
      </w:r>
    </w:p>
    <w:p>
      <w:r>
        <w:t>(4) Absatz 3 des vorliegenden Artikels gilt nicht für Tierarzneimittel, die für Equide bestimmt sind, die in dem in Artikel 114 Absatz 1 Buchstabe c der Verordnung (EU) 2016/429 genannten lebenslangen gültigen Identifizierungsdokument und in allen auf Grundlage jener Verordnung angenommenen Rechtsakten als nicht zur Schlachtung für den menschlichen Verzehr bestimmt deklariert wurden, und deren Wirkstoffe gemäß der Verordnung (EG) Nr. 470/2009 und allen anderen auf Grundlage jener Verordnung angenommenen Rechtsakten nicht zulässig sind.</w:t>
      </w:r>
    </w:p>
    <w:p>
      <w:r>
        <w:t>(5) Betrifft der Antrag ein Tierarzneimittel, das genetisch veränderte Organismen im Sinne von Artikel 2 der Richtlinie 2001/18/EG des Europäischen Parlaments und des Rates enthält oder aus solchen besteht, wird dem Antrag zusätzlich zu den in Absatz 1 des vorliegenden Artikels genannten Informationen, technischen Unterlagen und der Zusammenfassung Folgendes beigefügt:</w:t>
      </w:r>
    </w:p>
    <w:p>
      <w:r>
        <w:t>a) eine Kopie der schriftlichen Zustimmung der zuständigen Behörden zu der absichtlichen Freisetzung genetisch veränderter Organismen in die Umwelt zu Forschungs- und Entwicklungszwecken gemäß Teil B der Richtlinie 2001/18/EG,</w:t>
      </w:r>
    </w:p>
    <w:p>
      <w:r>
        <w:t>b) vollständige technische Unterlagen, die die in den Anhängen III und IV der Richtlinie 2001/18/EG geforderten Angaben enthalten,</w:t>
      </w:r>
    </w:p>
    <w:p>
      <w:r>
        <w:t>c) die Umweltverträglichkeitsprüfung gemäß den Grundsätzen des Anhangs II der Richtlinie 2001/18/EG,</w:t>
      </w:r>
    </w:p>
    <w:p>
      <w:r>
        <w:t>d) die Ergebnisse aller Untersuchungen zu Forschungs- oder Entwicklungszwecken.</w:t>
      </w:r>
    </w:p>
    <w:p>
      <w:r>
        <w:t>(6) Wird der Antrag nach dem nationalen Verfahren gemäß den Artikeln 46 und 47 gestellt, legt der Antragsteller zusätzlich zu den in Absatz 1 des vorliegenden Artikels genannten Informationen, technischen Unterlagen und der Zusammenfassung eine Erklärung vor, dass er keinen Zulassungsantrag für dasselbe Tierarzneimittel in einem anderen Mitgliedstaat oder in der Union gestellt hat bzw. dass in den anderen Mitgliedstaaten oder in der Union keine solche Zulassung erteilt wurde.</w:t>
      </w:r>
    </w:p>
    <w:p>
      <w:pPr>
        <w:pStyle w:val="Heading1"/>
      </w:pPr>
      <w:r>
        <w:t>KAPITEL II ZULASSUNGEN — ALLGEMEINE BESTIMMUNGEN UND REGELN FÜR DIE ANTRAGSTELLUNG (Fortsetzung)</w:t>
      </w:r>
    </w:p>
    <w:p>
      <w:pPr>
        <w:pStyle w:val="Heading2"/>
      </w:pPr>
      <w:r>
        <w:t>Abschnitt 3 Klinische Prüfungen</w:t>
      </w:r>
    </w:p>
    <w:p>
      <w:pPr>
        <w:pStyle w:val="Heading1"/>
      </w:pPr>
      <w:r>
        <w:t>KAPITEL II ZULASSUNGEN — ALLGEMEINE BESTIMMUNGEN UND REGELN FÜR DIE ANTRAGSTELLUNG (Fortsetzung)</w:t>
      </w:r>
    </w:p>
    <w:p>
      <w:pPr>
        <w:pStyle w:val="Heading2"/>
      </w:pPr>
      <w:r>
        <w:t>Artikel 9 Klinische Prüfungen</w:t>
      </w:r>
    </w:p>
    <w:p>
      <w:r>
        <w:t>(1) Ein Antrag auf Genehmigung einer klinischen Prüfung wird gemäß den geltenden nationalen Rechtsvorschriften bei einer zuständigen Behörde des Mitgliedstaats gestellt, in dem die klinische Prüfung durchgeführt werden soll.</w:t>
      </w:r>
    </w:p>
    <w:p>
      <w:r>
        <w:t>(2) Genehmigungen für klinische Prüfungen werden nur unter der Bedingung erteilt, dass der Lebensmittelgewinnung dienende Tiere, die in den klinischen Prüfungen verwendet werden, oder deren Erzeugnisse nur dann in die Lebensmittelkette gelangen, wenn die zuständige Behörde eine angemessene Wartezeit festgelegt hat.</w:t>
      </w:r>
    </w:p>
    <w:p>
      <w:r>
        <w:t>(3) Die zuständige Behörde trifft innerhalb von 60 Tagen nach Eingang eines gültigen Antrags eine Entscheidung über die Genehmigung oder Ablehnung einer klinischen Prüfung.</w:t>
      </w:r>
    </w:p>
    <w:p>
      <w:r>
        <w:t>(4) Die klinischen Prüfungen werden unter gebührender Berücksichtigung der internationalen Leitlinien zur guten klinischen Praxis der Internationalen Konferenz zur Harmonisierung der technischen Anforderungen an die Zulassung von Tierarzneimitteln (VICH) durchgeführt.</w:t>
      </w:r>
    </w:p>
    <w:p>
      <w:r>
        <w:t>(5) Daten aus klinischen Prüfungen werden mit dem Zulassungsantrag zum Zweck der Bereitstellung der in Artikel 8 Absatz 1 Buchstabe b genannten Unterlagen vorgelegt.</w:t>
      </w:r>
    </w:p>
    <w:p>
      <w:r>
        <w:t>(6) Daten aus klinischen Prüfungen, die außerhalb der Union durchgeführt wurden, dürfen nur dann zur Bewertung eines Zulassungsantrags herangezogen werden, wenn diese Prüfungen gemäß den internationalen Leitlinien zur guten klinischen Praxis der VICH entworfen, durchgeführt und gemeldet wurden.</w:t>
      </w:r>
    </w:p>
    <w:p>
      <w:pPr>
        <w:pStyle w:val="Heading1"/>
      </w:pPr>
      <w:r>
        <w:t>KAPITEL II ZULASSUNGEN — ALLGEMEINE BESTIMMUNGEN UND REGELN FÜR DIE ANTRAGSTELLUNG (Fortsetzung)</w:t>
      </w:r>
    </w:p>
    <w:p>
      <w:pPr>
        <w:pStyle w:val="Heading2"/>
      </w:pPr>
      <w:r>
        <w:t>Abschnitt 4 Kennzeichnung und Packungsbeilage</w:t>
      </w:r>
    </w:p>
    <w:p>
      <w:pPr>
        <w:pStyle w:val="Heading1"/>
      </w:pPr>
      <w:r>
        <w:t>KAPITEL II ZULASSUNGEN — ALLGEMEINE BESTIMMUNGEN UND REGELN FÜR DIE ANTRAGSTELLUNG (Fortsetzung)</w:t>
      </w:r>
    </w:p>
    <w:p>
      <w:pPr>
        <w:pStyle w:val="Heading2"/>
      </w:pPr>
      <w:r>
        <w:t>Artikel 10 Kennzeichnung der Primärverpackung von Tierarzneimitteln</w:t>
      </w:r>
    </w:p>
    <w:p>
      <w:r>
        <w:t>(1) Auf der Primärverpackung eines Tierarzneimittels werden folgende Angaben gemacht; weitere Angaben sind vorbehaltlich Artikel 11 Absatz 4 nicht zulässig:</w:t>
      </w:r>
    </w:p>
    <w:p>
      <w:r>
        <w:t>a) Name des Tierarzneimittels, gefolgt von Stärke und Darreichungsform,</w:t>
      </w:r>
    </w:p>
    <w:p>
      <w:r>
        <w:t>b) qualitative und quantitative Zusammensetzung der Wirkstoffe je Einheit oder entsprechend der Verabreichungsform für ein bestimmtes Volumen oder Gewicht unter Verwendung ihrer gebräuchlichen Bezeichnungen,</w:t>
      </w:r>
    </w:p>
    <w:p>
      <w:r>
        <w:t>c) Chargenbezeichnung (nach dem Wort „Lot“),</w:t>
      </w:r>
    </w:p>
    <w:p>
      <w:r>
        <w:t>d) Name oder Firma oder Logo des Zulassungsinhabers,</w:t>
      </w:r>
    </w:p>
    <w:p>
      <w:r>
        <w:t>e) Zieltierart(en),</w:t>
      </w:r>
    </w:p>
    <w:p>
      <w:r>
        <w:t>f) Verfalldatum im Format „MM/JJJJ“ (nach der Abkürzung „Exp.“),</w:t>
      </w:r>
    </w:p>
    <w:p>
      <w:r>
        <w:t>g) gegebenenfalls besondere Lagerungshinweise,</w:t>
      </w:r>
    </w:p>
    <w:p>
      <w:r>
        <w:t>h) Verabreichungsweg, und</w:t>
      </w:r>
    </w:p>
    <w:p>
      <w:r>
        <w:t>i) gegebenenfalls die Wartezeit, selbst wenn dieser Zeitraum gleich Null ist.</w:t>
      </w:r>
    </w:p>
    <w:p>
      <w:r>
        <w:t>(2) Die Angaben gemäß Absatz 1 des vorliegenden Artikels erscheinen in leicht lesbaren und klar verständlichen Zeichen oder in Abkürzungen oder Piktogrammen, die in der gesamten Union gebräuchlich und gemäß Artikel 17 Absatz 2 aufgelistet sind.</w:t>
      </w:r>
    </w:p>
    <w:p>
      <w:r>
        <w:t>(3) Ungeachtet des Absatzes 1 kann ein Mitgliedstaat beschließen, dass die gemäß Absatz 1 erforderlichen Angaben auf der Primärverpackung eines Tierarzneimittels, das in seinem Hoheitsgebiet bereitgestellt wird, um einen Identifizierungscode ergänzt werden.</w:t>
      </w:r>
    </w:p>
    <w:p>
      <w:pPr>
        <w:pStyle w:val="Heading1"/>
      </w:pPr>
      <w:r>
        <w:t>KAPITEL II ZULASSUNGEN — ALLGEMEINE BESTIMMUNGEN UND REGELN FÜR DIE ANTRAGSTELLUNG (Fortsetzung)</w:t>
      </w:r>
    </w:p>
    <w:p>
      <w:pPr>
        <w:pStyle w:val="Heading2"/>
      </w:pPr>
      <w:r>
        <w:t>Artikel 11 Kennzeichnung der äußeren Umhüllung von Tierarzneimitteln</w:t>
      </w:r>
    </w:p>
    <w:p>
      <w:r>
        <w:t>(1) Auf der äußeren Umhüllung eines Tierarzneimittels werden folgende Angaben gemacht; weitere Angaben sind nicht zulässig:</w:t>
      </w:r>
    </w:p>
    <w:p>
      <w:r>
        <w:t>a) die in Artikel 10 Absatz 1 genannten Angaben,</w:t>
      </w:r>
    </w:p>
    <w:p>
      <w:r>
        <w:t>b) Inhalt nach Gewicht, Volumen oder Anzahl der Primärverpackungseinheiten des Tierarzneimittels,</w:t>
      </w:r>
    </w:p>
    <w:p>
      <w:r>
        <w:t>c) ein Warnhinweis, dass das Tierarzneimittel nicht sichtbar und unzugänglich für Kinder aufzubewahren ist,</w:t>
      </w:r>
    </w:p>
    <w:p>
      <w:r>
        <w:t>d) ein Warnhinweis, dass das Tierarzneimittel „nur zur Behandlung von Tieren“ bestimmt ist,</w:t>
      </w:r>
    </w:p>
    <w:p>
      <w:r>
        <w:t>e) unbeschadet des Artikels 14 Absatz 4 eine Empfehlung, die Packungsbeilage zu lesen,</w:t>
      </w:r>
    </w:p>
    <w:p>
      <w:r>
        <w:t>f) bei homöopathischen Tierarzneimitteln der Wortlaut „homöopathisches Tierarzneimittel“,</w:t>
      </w:r>
    </w:p>
    <w:p>
      <w:r>
        <w:t>g) bei Tierarzneimitteln, die nicht verschreibungspflichtig sind, das Anwendungsgebiet oder die Anwendungsgebiete,</w:t>
      </w:r>
    </w:p>
    <w:p>
      <w:r>
        <w:t>h) die Zulassungsnummer.</w:t>
      </w:r>
    </w:p>
    <w:p>
      <w:r>
        <w:t>(2) Ein Mitgliedstaat kann beschließen, dass die gemäß Absatz 1 erforderlichen Angaben auf der äußeren Umhüllung eines Tierarzneimittels, das in seinem Hoheitsgebiet bereitgestellt wird, um einen Identifizierungscode ergänzt werden. Ein derartiger Identifizierungscode kann die Zulassungsnummer gemäß Absatz 1 Buchstabe h ersetzen.</w:t>
      </w:r>
    </w:p>
    <w:p>
      <w:r>
        <w:t>(3) Die Angaben gemäß Absatz 1 des vorliegenden Artikels erscheinen in leicht lesbaren und klar verständlichen Zeichen oder in Abkürzungen oder Piktogrammen, die in der gesamten Union gebräuchlich und gemäß Artikel 17 Absatz 2 aufgelistet sind.</w:t>
      </w:r>
    </w:p>
    <w:p>
      <w:r>
        <w:t>(4) Ist keine äußere Umhüllung vorhanden, werden alle in den Absätzen 1 und 2 aufgeführten Angaben auf der Primärverpackung aufgebracht.</w:t>
      </w:r>
    </w:p>
    <w:p>
      <w:pPr>
        <w:pStyle w:val="Heading1"/>
      </w:pPr>
      <w:r>
        <w:t>KAPITEL II ZULASSUNGEN — ALLGEMEINE BESTIMMUNGEN UND REGELN FÜR DIE ANTRAGSTELLUNG (Fortsetzung)</w:t>
      </w:r>
    </w:p>
    <w:p>
      <w:pPr>
        <w:pStyle w:val="Heading2"/>
      </w:pPr>
      <w:r>
        <w:t>Artikel 12 Kennzeichnung kleiner Primärverpackungseinheiten von Tierarzneimitteln</w:t>
      </w:r>
    </w:p>
    <w:p>
      <w:r>
        <w:t>(1) Abweichend von Artikel 10 werden auf Primärverpackungseinheiten, die zu klein sind, um die in Artikel 10 genannten Angaben auf lesbare Weise darauf abzubilden, folgende Angaben gemacht; weitere Angaben sind nicht zulässig:</w:t>
      </w:r>
    </w:p>
    <w:p>
      <w:r>
        <w:t>a) Name des Tierarzneimittels,</w:t>
      </w:r>
    </w:p>
    <w:p>
      <w:r>
        <w:t>b) Mengenangabe zu den Wirkstoffen,</w:t>
      </w:r>
    </w:p>
    <w:p>
      <w:r>
        <w:t>c) Chargenbezeichnung (nach dem Wort „Lot“),</w:t>
      </w:r>
    </w:p>
    <w:p>
      <w:r>
        <w:t>d) Verfalldatum im Format „MM/JJJJ“ (nach der Abkürzung „Exp.“).</w:t>
      </w:r>
    </w:p>
    <w:p>
      <w:r>
        <w:t>(2) Die in Absatz 1 des vorliegenden Artikels genannten Primärverpackungseinheiten befinden sich in einer äußeren Umhüllung, die die in Artikel 11 Absätze 1, 2 und 3 aufgeführten Angaben aufweist.</w:t>
      </w:r>
    </w:p>
    <w:p>
      <w:pPr>
        <w:pStyle w:val="Heading1"/>
      </w:pPr>
      <w:r>
        <w:t>KAPITEL II ZULASSUNGEN — ALLGEMEINE BESTIMMUNGEN UND REGELN FÜR DIE ANTRAGSTELLUNG (Fortsetzung)</w:t>
      </w:r>
    </w:p>
    <w:p>
      <w:pPr>
        <w:pStyle w:val="Heading2"/>
      </w:pPr>
      <w:r>
        <w:t>Artikel 13 Zusätzliche Angaben auf der Primärverpackung oder der äußeren Umhüllung von Tierarzneimitteln</w:t>
      </w:r>
    </w:p>
    <w:p>
      <w:r>
        <w:t>Abweichend von Artikel 10 Absatz 1, Artikel 11 Absatz 1 und Artikel 12 Absatz 1 können die Mitgliedstaaten in ihrem Hoheitsgebiet und auf Antrag des Antragstellers gestatten, dass dieser Antragsteller auf der Primärverpackung oder der äußeren Umhüllung eines Tierarzneimittels zusätzliche zweckdienliche Angaben macht, die mit der Fachinformation vereinbar sind, und die keine Werbung für ein Tierarzneimittel darstellt.</w:t>
      </w:r>
    </w:p>
    <w:p>
      <w:pPr>
        <w:pStyle w:val="Heading1"/>
      </w:pPr>
      <w:r>
        <w:t>KAPITEL II ZULASSUNGEN — ALLGEMEINE BESTIMMUNGEN UND REGELN FÜR DIE ANTRAGSTELLUNG (Fortsetzung)</w:t>
      </w:r>
    </w:p>
    <w:p>
      <w:pPr>
        <w:pStyle w:val="Heading2"/>
      </w:pPr>
      <w:r>
        <w:t>Artikel 14 Packungsbeilage von Tierarzneimitteln</w:t>
      </w:r>
    </w:p>
    <w:p>
      <w:r>
        <w:t>(1) Der Zulassungsinhaber stellt für jedes Tierarzneimittel eine Packungsbeilage zur Verfügung. Diese Packungsbeilage enthält mindestens folgende Angaben:</w:t>
      </w:r>
    </w:p>
    <w:p>
      <w:r>
        <w:t>a) Name oder Firma und ständige Anschrift oder eingetragene Niederlassung des Zulassungsinhabers und des Herstellers sowie gegebenenfalls des Vertreters des Zulassungsinhabers,</w:t>
      </w:r>
    </w:p>
    <w:p>
      <w:r>
        <w:t>b) Name des Tierarzneimittels, gefolgt von Stärke und Darreichungsform,</w:t>
      </w:r>
    </w:p>
    <w:p>
      <w:r>
        <w:t>c) qualitative und quantitative Zusammensetzung des Wirkstoffs oder der Wirkstoffe,</w:t>
      </w:r>
    </w:p>
    <w:p>
      <w:r>
        <w:t>d) Zieltierart(en), Dosierung für jede einzelne Art, Verabreichungsart und -weg sowie erforderlichenfalls Hinweise für die richtige Verabreichung,</w:t>
      </w:r>
    </w:p>
    <w:p>
      <w:r>
        <w:t>e) Angaben zur Anwendung,</w:t>
      </w:r>
    </w:p>
    <w:p>
      <w:r>
        <w:t>f) Gegenanzeigen und Nebenwirkungen,</w:t>
      </w:r>
    </w:p>
    <w:p>
      <w:r>
        <w:t>g) gegebenenfalls die Wartezeit, selbst wenn dieser Zeitraum gleich Null ist,</w:t>
      </w:r>
    </w:p>
    <w:p>
      <w:r>
        <w:t>h) gegebenenfalls besondere Lagerungshinweise,</w:t>
      </w:r>
    </w:p>
    <w:p>
      <w:r>
        <w:t>i) wichtige Angaben zu Sicherheit oder Gesundheitsschutz, einschließlich besonderer Vorsichtsmaßnahmen bei der Anwendung sowie sonstige Warnhinweise,</w:t>
      </w:r>
    </w:p>
    <w:p>
      <w:r>
        <w:t>j) Angaben zu den Rücknahmesystemen gemäß Artikel 117 für das betreffende Tierarzneimittel,</w:t>
      </w:r>
    </w:p>
    <w:p>
      <w:r>
        <w:t>k) Zulassungsnummer,</w:t>
      </w:r>
    </w:p>
    <w:p>
      <w:r>
        <w:t>l) Kontaktdaten des Zulassungsinhabers bzw. seines Vertreters, zur Meldung mutmaßlich unerwünschter Ereignisse,</w:t>
      </w:r>
    </w:p>
    <w:p>
      <w:r>
        <w:t>m) Einstufung des Tierarzneimittels gemäß Artikel 34.</w:t>
      </w:r>
    </w:p>
    <w:p>
      <w:r>
        <w:t>(2) Die Packungsbeilage kann zusätzliche Angaben zum Vertrieb, zum Besitz oder sonstige notwendige Vorsichtsmaßnahmen in Übereinstimmung mit der Zulassung enthalten, sofern diese Angaben keinen Werbezwecken dienen. Diese zusätzlichen Angaben erscheinen in der Packungsbeilage eindeutig getrennt von den Angaben gemäß Absatz 1.</w:t>
      </w:r>
    </w:p>
    <w:p>
      <w:r>
        <w:t>(3) Die Packungsbeilage ist in einer allgemein verständlichen, lesbaren und klaren Sprache und Gestaltung abgefasst. Die Mitgliedstaaten können beschließen, dass die Packungsbeilage auf Papier, in elektronischem Format oder auf beide Arten zur Verfügung gestellt wird.</w:t>
      </w:r>
    </w:p>
    <w:p>
      <w:r>
        <w:t>(4) Abweichend von Absatz 1 können die gemäß diesem Artikel erforderlichen Angaben alternativ auch auf der Verpackung des Tierarzneimittels gemacht werden.</w:t>
      </w:r>
    </w:p>
    <w:p>
      <w:pPr>
        <w:pStyle w:val="Heading1"/>
      </w:pPr>
      <w:r>
        <w:t>KAPITEL II ZULASSUNGEN — ALLGEMEINE BESTIMMUNGEN UND REGELN FÜR DIE ANTRAGSTELLUNG (Fortsetzung)</w:t>
      </w:r>
    </w:p>
    <w:p>
      <w:pPr>
        <w:pStyle w:val="Heading2"/>
      </w:pPr>
      <w:r>
        <w:t>Artikel 15 Allgemeine Anforderungen an die Produktinformation</w:t>
      </w:r>
    </w:p>
    <w:p>
      <w:r>
        <w:t>Die in den Artikeln 10 bis 14 genannten Angaben müssen der Fachinformation nach Artikel 35 entsprechen.</w:t>
      </w:r>
    </w:p>
    <w:p>
      <w:pPr>
        <w:pStyle w:val="Heading1"/>
      </w:pPr>
      <w:r>
        <w:t>KAPITEL II ZULASSUNGEN — ALLGEMEINE BESTIMMUNGEN UND REGELN FÜR DIE ANTRAGSTELLUNG (Fortsetzung)</w:t>
      </w:r>
    </w:p>
    <w:p>
      <w:pPr>
        <w:pStyle w:val="Heading2"/>
      </w:pPr>
      <w:r>
        <w:t>Artikel 16 Packungsbeilage von registrierten homöopathischen Tierarzneimitteln</w:t>
      </w:r>
    </w:p>
    <w:p>
      <w:r>
        <w:t>Abweichend von Artikel 14 Absatz 1 enthält die Packungsbeilage von homöopathischen Tierarzneimitteln, die gemäß Artikel 86 registriert sind, mindestens folgende Angaben:</w:t>
      </w:r>
    </w:p>
    <w:p>
      <w:r>
        <w:t>a) wissenschaftliche Bezeichnung der Ursubstanz(en) und Verdünnungsgrad, wobei die Symbole des Europäischen Arzneibuchs oder, falls dort nicht enthalten, eines der amtlichen Arzneibücher der Mitgliedstaaten verwendet werden,</w:t>
      </w:r>
    </w:p>
    <w:p>
      <w:r>
        <w:t>b) Name oder Firma und ständige Anschrift oder eingetragene Niederlassung des Inhabers der Registrierung und gegebenenfalls des Herstellers,</w:t>
      </w:r>
    </w:p>
    <w:p>
      <w:r>
        <w:t>c) Verabreichungsart und gegebenenfalls Verabreichungsweg,</w:t>
      </w:r>
    </w:p>
    <w:p>
      <w:r>
        <w:t>d) Darreichungsform,</w:t>
      </w:r>
    </w:p>
    <w:p>
      <w:r>
        <w:t>e) gegebenenfalls besondere Lagerungshinweise,</w:t>
      </w:r>
    </w:p>
    <w:p>
      <w:r>
        <w:t>f) Zieltierart(en) und gegebenenfalls Dosierung für jede Art,</w:t>
      </w:r>
    </w:p>
    <w:p>
      <w:r>
        <w:t>g) besonderer Warnhinweis, falls notwendig, für das homöopathische Tierarzneimittel,</w:t>
      </w:r>
    </w:p>
    <w:p>
      <w:r>
        <w:t>h) Registrierungsnummer,</w:t>
      </w:r>
    </w:p>
    <w:p>
      <w:r>
        <w:t>i) Wartezeit, sofern zutreffend,</w:t>
      </w:r>
    </w:p>
    <w:p>
      <w:r>
        <w:t>j) der Wortlaut „homöopathisches Tierarzneimittel“.</w:t>
      </w:r>
    </w:p>
    <w:p>
      <w:pPr>
        <w:pStyle w:val="Heading1"/>
      </w:pPr>
      <w:r>
        <w:t>KAPITEL II ZULASSUNGEN — ALLGEMEINE BESTIMMUNGEN UND REGELN FÜR DIE ANTRAGSTELLUNG (Fortsetzung)</w:t>
      </w:r>
    </w:p>
    <w:p>
      <w:pPr>
        <w:pStyle w:val="Heading2"/>
      </w:pPr>
      <w:r>
        <w:t>Artikel 17 Durchführungsbefugnisse für diesen Abschnitt</w:t>
      </w:r>
    </w:p>
    <w:p>
      <w:r>
        <w:t>(1) Die Kommission legt bei Bedarf im Wege von Durchführungsrechtsakten einheitliche Vorschriften für den Identifizierungscode nach Artikel 10 Absatz 3 und Artikel 11 Absatz 2 fest. Diese Durchführungsrechtsakte werden gemäß dem in Artikel 145 Absatz 2 genannten Prüfverfahren erlassen.</w:t>
      </w:r>
    </w:p>
    <w:p>
      <w:r>
        <w:t>(2) Die Kommission legt im Wege von Durchführungsrechtsakten eine Liste der in der gesamten Union gebräuchlichen Abkürzungen und Piktogramme fest, die für die Zwecke von Artikel 10 Absatz 2 und Artikel 11 Absatz 3 zu verwenden sind. Diese Durchführungsrechtsakte werden gemäß dem in Artikel 145 Absatz 2 genannten Prüfverfahren erlassen.</w:t>
      </w:r>
    </w:p>
    <w:p>
      <w:r>
        <w:t>(3) Die Kommission legt im Wege von Durchführungsrechtsakten einheitliche Vorschriften für die Größe der kleinen Primärverpackungseinheiten gemäß Artikel 12 fest. Diese Durchführungsrechtsakte werden gemäß dem in Artikel 145 Absatz 2 genannten Prüfverfahren erlassen.</w:t>
      </w:r>
    </w:p>
    <w:p>
      <w:pPr>
        <w:pStyle w:val="Heading1"/>
      </w:pPr>
      <w:r>
        <w:t>KAPITEL II ZULASSUNGEN — ALLGEMEINE BESTIMMUNGEN UND REGELN FÜR DIE ANTRAGSTELLUNG (Fortsetzung)</w:t>
      </w:r>
    </w:p>
    <w:p>
      <w:pPr>
        <w:pStyle w:val="Heading2"/>
      </w:pPr>
      <w:r>
        <w:t>Abschnitt 5 Besondere Anforderungen an generische und hybride Tierarzneimittel sowie Tierarzneimittel aus kombinierten Wirkstoffen und an Anträge aufgrund einer in Kenntnis der Sachlage erteilten Einwilligung sowie auf bibliografischer Grundlage</w:t>
      </w:r>
    </w:p>
    <w:p>
      <w:pPr>
        <w:pStyle w:val="Heading1"/>
      </w:pPr>
      <w:r>
        <w:t>KAPITEL II ZULASSUNGEN — ALLGEMEINE BESTIMMUNGEN UND REGELN FÜR DIE ANTRAGSTELLUNG (Fortsetzung)</w:t>
      </w:r>
    </w:p>
    <w:p>
      <w:pPr>
        <w:pStyle w:val="Heading2"/>
      </w:pPr>
      <w:r>
        <w:t>Artikel 18 Generische Tierarzneimittel</w:t>
      </w:r>
    </w:p>
    <w:p>
      <w:r>
        <w:t>(1) Abweichend von Artikel 8 Absatz 1 Buchstabe b muss ein Antrag auf Zulassung für ein generisches Tierarzneimittel die Unterlagen zur Sicherheit und Wirksamkeit nicht enthalten, wenn alle folgenden Bedingungen erfüllt sind:</w:t>
      </w:r>
    </w:p>
    <w:p>
      <w:r>
        <w:t>a) Die Bioäquivalenz eines generischen Tierarzneimittels mit dem Referenztierarzneimittel wurde durch Bioverfügbarkeitsstudien nachgewiesen, oder es wird begründet, warum derartige Studien nicht durchgeführt wurden.</w:t>
      </w:r>
    </w:p>
    <w:p>
      <w:r>
        <w:t>b) Der Antrag genügt den Anforderungen des Anhangs II.</w:t>
      </w:r>
    </w:p>
    <w:p>
      <w:r>
        <w:t>c) Der Antragsteller weist nach, dass der Antrag ein generisches Tierarzneimittel eines Referenztierarzneimittels betrifft, für das der in den Artikeln 39 und 40 festgelegte Schutzzeitraum für die technischen Unterlagen abgelaufen ist oder in weniger als zwei Jahren ablaufen wird.</w:t>
      </w:r>
    </w:p>
    <w:p>
      <w:r>
        <w:t>(2) Wenn der Wirkstoff eines generischen Tierarzneimittels aus Salzen, Estern, Ethern, Isomeren und Isomerengemischen, Komplexen oder Derivaten besteht, die sich von dem Wirkstoff unterscheiden, der im Referenztierarzneimittel verwendet wird, gilt er als derselbe Wirkstoff wie derjenige, der im Referenztierarzneimittel verwendet wird, sofern seine Sicherheits- oder Wirksamkeitseigenschaften nicht erheblich davon abweichen. Weicht er bei diesen Eigenschaften erheblich ab, legt der Antragsteller zusätzliche Informationen vor, anhand deren er die Sicherheit oder Wirksamkeit der verschiedenen Salze, Ester oder Derivate des zugelassenen Wirkstoffs des Referenztierarzneimittels nachweist.</w:t>
      </w:r>
    </w:p>
    <w:p>
      <w:r>
        <w:t>(3) Wenn mehrere orale Darreichungsformen mit sofortiger Wirkstofffreigabe eines generischen Tierarzneimittels vorgestellt werden, gelten sie als dieselbe Darreichungsform.</w:t>
      </w:r>
    </w:p>
    <w:p>
      <w:r>
        <w:t>(4) Wenn das Referenztierarzneimittel in dem Mitgliedstaat, in dem der Antrag für das generische Tierarzneimittel gestellt wird, nicht zugelassen wurde oder der Antrag gemäß Artikel 42 Absatz 4 gestellt wird und das Referenztierarzneimittel in einem Mitgliedstaat zugelassen ist, gibt der Antragsteller in seinem Antrag den Mitgliedstaat an, in dem das Referenztierarzneimittel zugelassen wurde.</w:t>
      </w:r>
    </w:p>
    <w:p>
      <w:r>
        <w:t>(5) Die zuständige Behörde bzw. die Agentur kann von der zuständigen Behörde des Mitgliedstaats, in dem das Referenztierarzneimittel zugelassen wurde, Informationen dazu anfordern. Diese Informationen werden der anfragenden Stelle binnen 30 Tagen nach Erhalt der Anfrage übermittelt.</w:t>
      </w:r>
    </w:p>
    <w:p>
      <w:r>
        <w:t>(6) Die Fachinformation des generischen Tierarzneimittels muss mit derjenigen des Referenztierarzneimittels im Wesentlichen vergleichbar sein. Diese Vorschrift gilt jedoch nicht für diejenigen Teile der Fachinformation des Referenztierarzneimittels, die Anwendungsgebiete oder Darreichungsformen betreffen, welche zum Zeitpunkt der Zulassung des generischen Tierarzneimittels noch dem Patentrecht unterliegen.</w:t>
      </w:r>
    </w:p>
    <w:p>
      <w:r>
        <w:t>(7) Eine zuständige Behörde bzw. die Agentur kann den Antragsteller auffordern, Daten zur Sicherheit vorzulegen zu den Risiken, die das generische Tierarzneimittel möglicherweise für die Umwelt birgt, wenn die Zulassung des Referenztierarzneimittels vor dem 1. Oktober 2005 erteilt wurde.</w:t>
      </w:r>
    </w:p>
    <w:p>
      <w:pPr>
        <w:pStyle w:val="Heading1"/>
      </w:pPr>
      <w:r>
        <w:t>KAPITEL II ZULASSUNGEN — ALLGEMEINE BESTIMMUNGEN UND REGELN FÜR DIE ANTRAGSTELLUNG (Fortsetzung)</w:t>
      </w:r>
    </w:p>
    <w:p>
      <w:pPr>
        <w:pStyle w:val="Heading2"/>
      </w:pPr>
      <w:r>
        <w:t>Artikel 19 Hybride Tierarzneimittel</w:t>
      </w:r>
    </w:p>
    <w:p>
      <w:r>
        <w:t>(1) Abweichend von Artikel 18 Absatz 1 werden die Ergebnisse geeigneter vorklinischer Studien oder klinischer Prüfungen verlangt, wenn das Tierarzneimittel aus mindestens einem der folgenden Gründe nicht alle Merkmale eines generischen Tierarzneimittels erfüllt:</w:t>
      </w:r>
    </w:p>
    <w:p>
      <w:r>
        <w:t>a) Der Wirkstoff oder die Wirkstoffe, die Angaben zur Anwendung, die Stärke, die Darreichungsform oder der Verabreichungsweg des generischen Tierarzneimittels wurden gegenüber dem Referenztierarzneimittel geändert;</w:t>
      </w:r>
    </w:p>
    <w:p>
      <w:r>
        <w:t>b) Bioverfügbarkeitsstudien können nicht zum Nachweis der Bioäquivalenz mit dem Referenztierarzneimittel herangezogen werden; oder</w:t>
      </w:r>
    </w:p>
    <w:p>
      <w:r>
        <w:t>c) es gibt bei Rohstoffen oder Herstellungsprozessen des biologischen Tierarzneimittels und des biologischen Referenztierarzneimittels Unterschiede.</w:t>
      </w:r>
    </w:p>
    <w:p>
      <w:r>
        <w:t>(2) Die vorklinischen Studien oder die klinischen Prüfungen eines hybriden Tierarzneimittels können mit Chargen des Referenztierarzneimittels durchgeführt werden, die in der Union oder in Drittländern zugelassen wurden.</w:t>
      </w:r>
    </w:p>
    <w:p>
      <w:r>
        <w:t>Der Antragsteller weist nach, dass in einem Drittland zugelassene Referenztierarzneimittel gemäß Anforderungen zugelassen wurden, die den Anforderungen an das Referenztierarzneimittel in der Union entsprechen, und dass sie sich so stark ähneln, dass sie einander in den klinischen Prüfungen substituieren können.</w:t>
      </w:r>
    </w:p>
    <w:p>
      <w:pPr>
        <w:pStyle w:val="Heading1"/>
      </w:pPr>
      <w:r>
        <w:t>KAPITEL II ZULASSUNGEN — ALLGEMEINE BESTIMMUNGEN UND REGELN FÜR DIE ANTRAGSTELLUNG (Fortsetzung)</w:t>
      </w:r>
    </w:p>
    <w:p>
      <w:pPr>
        <w:pStyle w:val="Heading2"/>
      </w:pPr>
      <w:r>
        <w:t>Artikel 20 Tierarzneimittel aus kombinierten Wirkstoffen</w:t>
      </w:r>
    </w:p>
    <w:p>
      <w:r>
        <w:t>Abweichend von Artikel 8 Absatz 1 Buchstabe b müssen keine Daten zur Sicherheit und Wirksamkeit jedes einzelnen Wirkstoffs vorgelegt werden, wenn Tierarzneimittel Wirkstoffe enthalten, die Bestandteil bereits zugelassener Tierarzneimittel sind.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Tierarzneimittel Verordnung (EU) 2019-6 (2 von 12) Kap I-II GEGENSTAND, ANWENDUNGSBEREICH, ZULASSUNGEN</dc:title>
  <dc:subject>Amtsblatt der EU, CELEX 32019R0006, https://eur-lex.europa.eu/legal-content/DE/TXT/?uri=CELEX:32019R0006</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