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 Herstellung steriler Arzneimittel (EN) (1 von 5) Kap 1-4 Scope, Principle, Pharmaceutical Quality</w:t>
      </w:r>
    </w:p>
    <w:p>
      <w:r>
        <w:t>Quelle: https://health.ec.europa.eu/document/download/e05af55b-38e9-42bf-8495-194bbf0b9262_en?filename=20220825_gmp-an1_en_0.pdf</w:t>
      </w:r>
    </w:p>
    <w:p>
      <w:pPr>
        <w:pStyle w:val="Heading1"/>
      </w:pPr>
      <w:r>
        <w:t>1 Scope</w:t>
      </w:r>
    </w:p>
    <w:p>
      <w:r>
        <w:t>The manufacture of sterile products covers a wide range of sterile product types (active substance, excipient, primary packaging material and finished dosage form), packed sizes (single unit to multiple units), processes (from highly automated systems to manual processes) and technologies (e.g. biotechnology, classical small molecule manufacturing systems and closed systems). This Annex provides general guidance that should be used in the design and control of facilities, equipment, systems and procedures used for the manufacture of all sterile products applying the principles of Quality Risk Management (QRM), to ensure that microbial, particulate and endotoxin/pyrogen contamination is prevented in the final product.</w:t>
      </w:r>
    </w:p>
    <w:p>
      <w:r>
        <w:t>QRM applies to this document in its entirety and will not, normally, be referred to in specific paragraphs. Where specific limits or frequencies or ranges are specified, these should be considered as a minimum requirement. They are stated due to historical regulatory experience of issues that have been identified and have impacted the safety of patients.</w:t>
      </w:r>
    </w:p>
    <w:p>
      <w:r>
        <w:t>The intent of the Annex is to provide guidance for the manufacture of sterile products. However, some of the principles and guidance, such as contamination control strategy, design of premises, cleanroom classification, qualification, validation, monitoring and personnel gowning, may be used to support the manufacture of other products that are not intended to be sterile such as certain liquids, creams, ointments and low bioburden biological intermediates, but where the control and reduction of microbial, particulate and endotoxin/pyrogen contamination is considered important. Where a manufacturer elects to apply guidance herein to non-sterile products, the manufacturer should clearly document which principles have been applied and acknowledge that compliance with those principles should be demonstrated.</w:t>
      </w:r>
    </w:p>
    <w:p>
      <w:pPr>
        <w:pStyle w:val="Heading1"/>
      </w:pPr>
      <w:r>
        <w:t>2 Principle</w:t>
      </w:r>
    </w:p>
    <w:p>
      <w:r>
        <w:t>2.1 The manufacture of sterile products is subject to special requirements in order to minimize risks of microbial, particulate and endotoxin/pyrogen contamination. The following key areas should be considered:</w:t>
      </w:r>
    </w:p>
    <w:p>
      <w:r>
        <w:t>i. Facility, equipment and process should be appropriately designed, qualified and/or validated and where applicable, subjected to ongoing verification according to the relevant sections of the Good Manufacturing Practices (GMP) guidelines. The use of appropriate technologies (e.g. Restricted Access Barriers Systems (RABS), isolators, robotic systems, rapid/alternative methods and continuous monitoring systems) should be considered to increase the protection of the product from potential extraneous sources of endotoxin/pyrogen, particulate and microbial contamination such as personnel, materials and the surrounding environment, and assist in the rapid detection of potential contaminants in the environment and the product.</w:t>
      </w:r>
    </w:p>
    <w:p>
      <w:r>
        <w:t>ii. Personnel should have adequate qualifications and experience, training and behaviour with a specific focus on the principles involved in the protection of sterile product during the manufacturing, packaging and distribution processes.</w:t>
      </w:r>
    </w:p>
    <w:p>
      <w:r>
        <w:t>iii. Processes and monitoring systems for sterile product manufacture should be designed, commissioned, qualified, monitored and regularly reviewed by personnel with appropriate process, engineering and microbiological knowledge.</w:t>
      </w:r>
    </w:p>
    <w:p>
      <w:r>
        <w:t>iv. Raw materials and packaging materials should be adequately controlled and tested to ensure that level of bioburden and endotoxin/pyrogen are suitable for use.</w:t>
      </w:r>
    </w:p>
    <w:p>
      <w:pPr>
        <w:pStyle w:val="Heading2"/>
      </w:pPr>
      <w:r>
        <w:t>2.2 Processes, equipment, facilities and manufacturing activities should be managed in accordance</w:t>
      </w:r>
    </w:p>
    <w:p>
      <w:r>
        <w:t>with QRM principles to provide a proactive means of identifying, scientifically evaluating and controlling potential risks to quality. Where alternative approaches are used, these should be supported by appropriate rationale, risk assessment and mitigation, and should meet the intent of this Annex. In the first instance, QRM priorities should include appropriate design of the facility, equipment and processes, followed by the implementation of well-designed procedures, and finally application of monitoring systems as the element that demonstrates that the design and procedures have been correctly implemented and continue to perform in line with expectations. Monitoring or testing alone does not give assurance of sterility.</w:t>
      </w:r>
    </w:p>
    <w:p>
      <w:pPr>
        <w:pStyle w:val="Heading2"/>
      </w:pPr>
      <w:r>
        <w:t>2.3 A Contamination Control Strategy (CCS) should be implemented across the facility in order to</w:t>
      </w:r>
    </w:p>
    <w:p>
      <w:r>
        <w:t>define all critical control points and assess the effectiveness of all the controls (design, procedural, technical and organisational) and monitoring measures employed to manage risks to medicinal product quality and safety. The combined strategy of the CCS should establish robust assurance of contamination prevention. The CCS should be actively reviewed and, where appropriate, updated and should drive continual improvement of the manufacturing and control methods. Its effectiveness should form part of the periodic management review. Where existing control systems are in place and are appropriately managed, these may not require replacement but should be referenced in the CCS and the associated interactions between systems should be understood.</w:t>
      </w:r>
    </w:p>
    <w:p>
      <w:r>
        <w:t>2.4 Contamination control and steps taken to minimize the risk of contamination from microbial, endotoxin/pyrogen and particle sources includes a series of interrelated events and measures. These are typically assessed, controlled and monitored individually but their collective effectiveness should be considered together.</w:t>
      </w:r>
    </w:p>
    <w:p>
      <w:pPr>
        <w:pStyle w:val="Heading2"/>
      </w:pPr>
      <w:r>
        <w:t>2.5 The development of the CCS requires detailed technical and process knowledge. Potential sources</w:t>
      </w:r>
    </w:p>
    <w:p>
      <w:r>
        <w:t>of contamination are attributable to microbial and cellular debris (e.g. pyrogen, endotoxin) as well as particulate (e.g. glass and other visible and sub-visible particles). Elements to be considered within a CCS should include (but are not limited to):</w:t>
      </w:r>
    </w:p>
    <w:p>
      <w:r>
        <w:t>i. Design of both the plant and processes including the associated documentation.</w:t>
      </w:r>
    </w:p>
    <w:p>
      <w:r>
        <w:t>ii. Premises and equipment.</w:t>
      </w:r>
    </w:p>
    <w:p>
      <w:r>
        <w:t>iii. Personnel.</w:t>
      </w:r>
    </w:p>
    <w:p>
      <w:r>
        <w:t>iv. Utilities.</w:t>
      </w:r>
    </w:p>
    <w:p>
      <w:r>
        <w:t>v. Raw material controls – including in-process controls.</w:t>
      </w:r>
    </w:p>
    <w:p>
      <w:r>
        <w:t>vi. Product containers and closures.</w:t>
      </w:r>
    </w:p>
    <w:p>
      <w:r>
        <w:t>vii. Vendor approval – such as key component suppliers, sterilisation of components and single use systems (SUS), and critical service providers.</w:t>
      </w:r>
    </w:p>
    <w:p>
      <w:r>
        <w:t>viii. Management of outsourced activities and availability/transfer of critical information between parties, e.g. contract sterilisation services.</w:t>
      </w:r>
    </w:p>
    <w:p>
      <w:r>
        <w:t>ix. Process risk management.</w:t>
      </w:r>
    </w:p>
    <w:p>
      <w:r>
        <w:t>x. Process validation.</w:t>
      </w:r>
    </w:p>
    <w:p>
      <w:r>
        <w:t>xi. Validation of sterilisation processes.</w:t>
      </w:r>
    </w:p>
    <w:p>
      <w:r>
        <w:t>xii. Preventative maintenance – maintaining equipment, utilities and premises (planned and unplanned maintenance) to a standard that will ensure there is no additional risk of contamination.</w:t>
      </w:r>
    </w:p>
    <w:p>
      <w:r>
        <w:t>xiii. Cleaning and disinfection.</w:t>
      </w:r>
    </w:p>
    <w:p>
      <w:r>
        <w:t>xiv. Monitoring systems - including an assessment of the feasibility of the introduction of scientifically sound, alternative methods that optimize the detection of environmental contamination.</w:t>
      </w:r>
    </w:p>
    <w:p>
      <w:r>
        <w:t>xv. Prevention mechanisms – trend analysis, detailed investigation, root cause determination, corrective and preventive actions (CAPA) and the need for comprehensive investigational tools.</w:t>
      </w:r>
    </w:p>
    <w:p>
      <w:r>
        <w:t>xvi. Continuous improvement based on information derived from the above.</w:t>
      </w:r>
    </w:p>
    <w:p>
      <w:pPr>
        <w:pStyle w:val="Heading2"/>
      </w:pPr>
      <w:r>
        <w:t>2.6 The CCS should consider all aspects of contamination control with ongoing and periodic review</w:t>
      </w:r>
    </w:p>
    <w:p>
      <w:r>
        <w:t>resulting in updates within the pharmaceutical quality system as appropriate. Changes to the systems in place should be assessed for any impact on the CCS before and after implementation.</w:t>
      </w:r>
    </w:p>
    <w:p>
      <w:pPr>
        <w:pStyle w:val="Heading2"/>
      </w:pPr>
      <w:r>
        <w:t>2.7 The manufacturer should take all steps and precautions necessary to assure the sterility of the</w:t>
      </w:r>
    </w:p>
    <w:p>
      <w:r>
        <w:t>products manufactured within its facilities. Sole reliance for sterility or other quality aspects should not be placed on any terminal process or finished product test.</w:t>
      </w:r>
    </w:p>
    <w:p>
      <w:pPr>
        <w:pStyle w:val="Heading1"/>
      </w:pPr>
      <w:r>
        <w:t>3 Pharmaceutical Quality System (PQS)</w:t>
      </w:r>
    </w:p>
    <w:p>
      <w:pPr>
        <w:pStyle w:val="Heading2"/>
      </w:pPr>
      <w:r>
        <w:t>3.1 The manufacture of sterile products is a complex activity that requires specific controls and</w:t>
      </w:r>
    </w:p>
    <w:p>
      <w:r>
        <w:t>measures to ensure the quality of products manufactured. Accordingly, the manufacturer’s PQS should encompass and address the specific requirements of sterile product manufacture and ensure that all activities are effectively controlled so that the risk of microbial, particulate and endotoxin/pyrogen contamination is minimized in sterile products. In addition to the PQS requirements detailed in Chapter 1 of the GMP guidelines (Part I - Basic Requirements for Medicinal Products), the PQS for sterile product manufacture should also ensure that:</w:t>
      </w:r>
    </w:p>
    <w:p>
      <w:r>
        <w:t>i. An effective risk management system is integrated into all areas of the product life cycle with the aim to minimize microbial contamination and to ensure the quality of sterile products manufactured.</w:t>
      </w:r>
    </w:p>
    <w:p>
      <w:r>
        <w:t>ii. The manufacturer has sufficient knowledge and expertise in relation to the products manufactured and the equipment, engineering and manufacturing methods employed that have an impact on product quality.</w:t>
      </w:r>
    </w:p>
    <w:p>
      <w:r>
        <w:t>iii. Root cause analysis of procedural, process or equipment failure is performed in such a way that the risk to product is correctly identified and understood so that suitable corrective and preventive actions (CAPA) are implemented.</w:t>
      </w:r>
    </w:p>
    <w:p>
      <w:r>
        <w:t>iv. Risk management is applied in the development and maintenance of the CCS, to identify, assess, reduce/eliminate (where applicable) and control contamination risks. Risk management should be documented and should include the rationale for decisions taken in relation to risk reduction and acceptance of residual risk.</w:t>
      </w:r>
    </w:p>
    <w:p>
      <w:r>
        <w:t>v. Senior management should effectively oversee the state of control throughout the facility and product lifecycle. Risk management outcome should be reviewed regularly as part of the ongoing quality management, during change, in the event of a significant emerging problem, and during the periodic product quality review.</w:t>
      </w:r>
    </w:p>
    <w:p>
      <w:r>
        <w:t>vi. Processes associated with the finishing, storage and transport of sterile products should not compromise the sterile product. Aspects that should be considered include: container integrity, risks of contamination and avoidance of degradation by ensuring that products are stored and maintained in accordance with the registered storage conditions.</w:t>
      </w:r>
    </w:p>
    <w:p>
      <w:r>
        <w:t>vii. Persons responsible for the certification/release of sterile products have appropriate access to manufacturing and quality information and possess adequate knowledge and experience in the manufacture of sterile products and the associated critical quality attributes. This is in order to allow such persons to determine if the sterile products have been manufactured in accordance with the registered specifications and approved process and are of the required quality.</w:t>
      </w:r>
    </w:p>
    <w:p>
      <w:pPr>
        <w:pStyle w:val="Heading2"/>
      </w:pPr>
      <w:r>
        <w:t>3.2 All non-conformities, such as sterility test failures, environmental monitoring excursions or</w:t>
      </w:r>
    </w:p>
    <w:p>
      <w:r>
        <w:t>deviations from established procedures should be adequately investigated before certification/release of the batch. The investigation should determine the potential impact upon process and product quality and whether any other processes or batches are potentially impacted. The reason for including or excluding a product or batch from the scope of the investigation should be clearly justified and recorded.</w:t>
      </w:r>
    </w:p>
    <w:p>
      <w:pPr>
        <w:pStyle w:val="Heading1"/>
      </w:pPr>
      <w:r>
        <w:t>4 Premises</w:t>
      </w:r>
    </w:p>
    <w:p>
      <w:pPr>
        <w:pStyle w:val="Heading2"/>
      </w:pPr>
      <w:r>
        <w:t>4.1 The manufacture of sterile products should be carried out in appropriate cleanrooms, entry to</w:t>
      </w:r>
    </w:p>
    <w:p>
      <w:r>
        <w:t>which should be through change rooms that act as airlocks for personnel and airlocks for equipment and materials. Cleanrooms and change rooms should be maintained to an appropriate cleanliness standard and supplied with air that has passed through filters of an appropriate efficiency. Controls and monitoring should be scientifically justified and should effectively evaluate the state of environmental conditions of cleanrooms, airlocks and pass-through hatches.</w:t>
      </w:r>
    </w:p>
    <w:p>
      <w:pPr>
        <w:pStyle w:val="Heading2"/>
      </w:pPr>
      <w:r>
        <w:t>4.2 The various operations of component preparation, product preparation and filling should be</w:t>
      </w:r>
    </w:p>
    <w:p>
      <w:r>
        <w:t>carried out with appropriate technical and operational separation measures within the cleanroom or facility to prevent mix up and contamination.</w:t>
      </w:r>
    </w:p>
    <w:p>
      <w:pPr>
        <w:pStyle w:val="Heading2"/>
      </w:pPr>
      <w:r>
        <w:t>4.3 Restricted Access Barrier Systems (RABS) or isolators are beneficial in assuring required</w:t>
      </w:r>
    </w:p>
    <w:p>
      <w:r>
        <w:t>conditions and minimizing microbial contamination associated with direct human interventions in the critical zone. Their use should be considered in the CCS. Any alternative approaches to the use of RABS or isolators should be justified.</w:t>
      </w:r>
    </w:p>
    <w:p>
      <w:r>
        <w:t>4.4 For the manufacture of sterile products, there are four grades of cleanroom/zone.</w:t>
      </w:r>
    </w:p>
    <w:p>
      <w:r>
        <w:t>Grade A: The critical zone for high-risk operations (e.g. aseptic processing line, filling zone, stopper bowl, open primary packaging or for making aseptic connections under the protection of first air). Normally, such conditions are provided by a localised airflow protection, such as unidirectional airflow workstations within RABS or isolators. The maintenance of unidirectional airflow should be demonstrated and qualified across the whole of the grade A area. Direct intervention (e.g. without the protection of barrier and glove port technology) into the grade A area by operators should be minimized by premises, equipment, process and procedural design.</w:t>
      </w:r>
    </w:p>
    <w:p>
      <w:r>
        <w:t>Grade B: For aseptic preparation and filling, this is the background cleanroom for grade A (where it is not an isolator). Air pressure differences should be continuously monitored. Cleanrooms of lower grade than grade B can be considered where isolator technology is used (see paragraph 4.20 ). Grade C and D: These are cleanrooms used for carrying out less critical stages in the manufacture of aseptically filled sterile products or as a background for isolators. They can also be used for the preparation/filling of terminally sterilised products. (See section 8 for the specific details on terminal sterilisation activities).</w:t>
      </w:r>
    </w:p>
    <w:p>
      <w:pPr>
        <w:pStyle w:val="Heading2"/>
      </w:pPr>
      <w:r>
        <w:t>4.5 In cleanrooms and critical zones, all exposed surfaces should be smooth, impervious and</w:t>
      </w:r>
    </w:p>
    <w:p>
      <w:r>
        <w:t>unbroken in order to minimize the shedding or accumulation of particles or micro-organisms.</w:t>
      </w:r>
    </w:p>
    <w:p>
      <w:pPr>
        <w:pStyle w:val="Heading2"/>
      </w:pPr>
      <w:r>
        <w:t>4.6 To reduce accumulation of dust and to facilitate cleaning there should be no recesses that are</w:t>
      </w:r>
    </w:p>
    <w:p>
      <w:r>
        <w:t>difficult to clean effectively, therefore projecting ledges, shelves, cupboards and equipment should be kept to a minimum. Doors should be designed to avoid recesses that cannot be cleaned. Sliding doors may be undesirable for this reason.</w:t>
      </w:r>
    </w:p>
    <w:p>
      <w:r>
        <w:t>4.7 Materials used in cleanrooms, both in the construction of the room and for items used within the room, should be selected to minimize generation of particles and to permit the repeated application of cleaning, disinfectant and sporicidal agents where used.</w:t>
      </w:r>
    </w:p>
    <w:p>
      <w:r>
        <w:t>4.8 Ceilings should be designed and sealed to prevent contamination from the space above them.</w:t>
      </w:r>
    </w:p>
    <w:p>
      <w:r>
        <w:t>4.9 Sinks and drains should be prohibited in the grade A and grade B areas. In other cleanrooms, air breaks should be fitted between the machine or sink and the drains. Floor drains in lower grade cleanrooms should be fitted with traps or water seals designed to prevent back flow and should be regularly cleaned, disinfected and maintained.</w:t>
      </w:r>
    </w:p>
    <w:p>
      <w:r>
        <w:t>4.10 The transfer of equipment and materials into and out of the cleanrooms and critical zones is one of the greatest potential sources of contamination. Any activities with the potential to compromise the cleanliness of cleanrooms or the critical zone should be assessed and if they cannot be eliminated, appropriate controls should be implemented.</w:t>
      </w:r>
    </w:p>
    <w:p>
      <w:r>
        <w:t>4.11 The transfer of materials, equipment, and components into the grade A or B areas should be carried out via a unidirectional process. Where possible, items should be sterilised and passed into these areas through double-ended sterilisers (e.g. through a double-door autoclave or depyrogenation oven/tunnel) sealed into the wall. Where sterilisation upon transfer of the items is not possible, a procedure which achieves the same objective of not introducing contamination should be validated and implemented, (e.g. using an effective transfer disinfection process, rapid transfer systems for isolators or, for gaseous or liquid materials, a bacteria-retentive filter). The removal of items from the grade A and B areas (e.g. materials, waste, environmental samples) should be carried out via a separate unidirectional process. If this is not possible, time-based separation of movement (incoming/exiting material) by procedure should be considered and controls applied to avoid potential contamination of incoming items.</w:t>
      </w:r>
    </w:p>
    <w:p>
      <w:r>
        <w:t>4.12 Airlocks should be designed and used to provide physical separation and to minimize microbial and particle contamination of the different areas and should be present for material and personnel moving between different grades. Wherever possible, airlocks used for personnel movement should be separated from those used for material movement. Where this is not practical, time-based separation of movement (personnel/material) by procedure should be considered. Airlocks should be flushed effectively with filtered air to ensure that the grade of the cleanroom is maintained. The final stage of the airlock should, in the “at rest” state, be of the same cleanliness grade (viable and total particle) as the cleanroom into which it leads. The use of separate change rooms for entering and leaving the grade B area is desirable. Where this is not practical, time-based separation of activities (ingress/egress) by procedure should be considered. Where the CCS indicates that the risk of contamination is high, separate change rooms for entering and leaving production areas should be used. Airlocks should be designed as follows:</w:t>
      </w:r>
    </w:p>
    <w:p>
      <w:r>
        <w:t>i. Personnel airlocks: Areas of increasing cleanliness used for entry of personnel (e.g. from the grade D area to the grade C area to the grade B area). In general hand washing facilities should be provided only in the first stage of the changing room and not be present in changing rooms directly accessing the grade B area.</w:t>
      </w:r>
    </w:p>
    <w:p>
      <w:r>
        <w:t>ii. Material airlocks: used for materials and equipment transfer.</w:t>
      </w:r>
    </w:p>
    <w:p>
      <w:r>
        <w:t>• Only materials and equipment that have been included on an approved list and assessed during validation of the transfer process should be transferred into the grade A or grade B areas via an airlock or pass-through hatches. Equipment and materials (intended for use in the grade A area) should be protected when transiting through the grade B area. Any unapproved items that require transfer should be pre-approved as an exception. Appropriate risk assessment and mitigation measures should be applied and recorded as per the manufacturer's CCS and should include a specific disinfection and monitoring programme approved by quality assurance.</w:t>
      </w:r>
    </w:p>
    <w:p>
      <w:r>
        <w:t>• Pass-through hatches should be designed to protect the higher-grade environment, for example by effective flushing with an active filtered air supply.</w:t>
      </w:r>
    </w:p>
    <w:p>
      <w:r>
        <w:t>• The movement of material or equipment from lower grade or unclassified area to higher-grade clean areas should be subject to cleaning and disinfection commensurate with the risk and in line with the CCS.</w:t>
      </w:r>
    </w:p>
    <w:p>
      <w:r>
        <w:t>4.13 For pass-through hatches and airlocks (for material and personnel), the entry and exit doors should not be opened simultaneously. For airlocks leading to the grade A and grade B areas, an interlocking system should be used. For airlocks leading to grade C and D areas, a visual and/or audible warning system should be operated as a minimum. Where required to maintain area segregation, a time delay between the closing and opening of interlocked doors should be established.</w:t>
      </w:r>
    </w:p>
    <w:p>
      <w:r>
        <w:t>4.14 Cleanrooms should be supplied with a filtered air supply that maintains a positive pressure and/or an airflow relative to the background environment of a lower grade under all operational conditions and should flush the area effectively. Adjacent rooms of different grades should have an air pressure difference of a minimum of 10 Pascals (guidance value). Particular attention should be paid to the protection of the critical zone. The recommendations regarding air supplies and pressures may need to be modified where it is necessary to contain certain materials (e.g. pathogenic, highly toxic or radioactive products or live viral or bacterial materials). The modification may include positively or negatively pressurized airlocks that prevent the hazardous material from contaminating surrounding areas. Decontamination of facilities (e.g. the cleanrooms and the heating, ventilation, and air-conditioning (HVAC) systems) and the treatment of air leaving a clean area, may be necessary for some operations. Where containment requires air to flow into a critical zone, the source of the air should be from an area of the same or higher grade.</w:t>
      </w:r>
    </w:p>
    <w:p>
      <w:r>
        <w:t>4.15 Airflow patterns within cleanrooms and zones should be visualised to demonstrate that there is no ingress from lower grade to higher grade areas and that air does not travel from less clean areas (such as the floor) or over operators or equipment that may transfer contamination to the higher grade areas. Where unidirectional airflow is required, visualisation studies should be performed to determine compliance, (see paragraphs 4.4 &amp; 4.19). When filled, closed products are transferred to an adjacent cleanroom of a lower grade via a small egress point, airflow visualization studies should demonstrate that air does not ingress from the lower grade cleanrooms to the grade B area. Where air movement is shown to be a contamination risk to the clean area or critical zone, corrective actions, such as design improvement, should be implemented. Airflow pattern studies should be performed both at rest and in operation (e.g. simulating operator interventions). Video recordings of the airflow patterns should be retained. The outcome of the air visualisation studies should be documented and considered when establishing the facility's environmental monitoring programme.</w:t>
      </w:r>
    </w:p>
    <w:p>
      <w:r>
        <w:t>4.16 Indicators of air pressure differences should be fitted between cleanrooms and/or between isolators and their background. Set points and the criticality of air pressure differences should be considered within the CCS. Air pressure differences identified as critical should be continuously monitored and recorded. A warning system should be in place to instantly indicate and warn operators of any failure in the air supply or reduction of air pressure differences (below set limits for those identified as critical). The warning signal should not be overridden without assessment and a procedure should be available to outline the steps to be taken when a warning signal is given. Where alarm delays are set, these should be assessed and justified within the CCS. Other air pressure differences should be monitored and recorded at regular intervals.</w:t>
      </w:r>
    </w:p>
    <w:p>
      <w:r>
        <w:t>4.17 Facilities should be designed to permit observation of production activities from outside the grade A and B areas (e.g. through the provision of windows or remote cameras with a full view of the area and processes to allow observation and supervision without entry). This requirement should be considered when designing new facilities or during refurbishment of existing facilities.</w:t>
      </w:r>
    </w:p>
    <w:p>
      <w:pPr>
        <w:pStyle w:val="Heading2"/>
      </w:pPr>
      <w:r>
        <w:t>Barrier Technologies</w:t>
      </w:r>
    </w:p>
    <w:p>
      <w:r>
        <w:t>4.18 Isolators or RABS, which are different technologies, and the associated processes, should be designed to provide protection through separation of the grade A environment from the environment of the surrounding room. The hazards introduced from entry or removal of items during processing should be minimized and supported by high capability transfer technologies or validated systems that robustly prevent contamination and are appropriate for the respective technology.</w:t>
      </w:r>
    </w:p>
    <w:p>
      <w:r>
        <w:t>4.19 The design of the technology and processes used should ensure appropriate conditions are maintained in the critical zone to protect the exposed product during operations.</w:t>
      </w:r>
    </w:p>
    <w:p>
      <w:r>
        <w:t>i. Isolators:</w:t>
      </w:r>
    </w:p>
    <w:p>
      <w:r>
        <w:t>a. The design of open isolators should ensure grade A conditions with first air protection in the critical zone and unidirectional airflow that sweeps over and away from exposed products during processing. b. The design of closed isolators should ensure grade A conditions with adequate protection for exposed products during processing. Airflow may not be fully unidirectional in closed isolators where simple operations are conducted. However, any turbulent airflow should not increase risk of contamination of the exposed product. Where processing lines are included in closed isolators, grade A conditions should be ensured with first air protection in the critical zone and unidirectional airflow that sweeps over and away from exposed products during processing c. Negative pressure isolators should only be used when containment of the product is considered essential (e.g. radiopharmaceutical products) and specialized risk control measures should be applied to ensure the critical zone is not compromised.</w:t>
      </w:r>
    </w:p>
    <w:p>
      <w:r>
        <w:t>ii. RABS:</w:t>
      </w:r>
    </w:p>
    <w:p>
      <w:r>
        <w:t>The design of RABS should ensure grade A conditions with unidirectional airflow and first air protection in the critical zone. A positive airflow from the critical zone to the supporting background environment should be maintained.</w:t>
      </w:r>
    </w:p>
    <w:p>
      <w:r>
        <w:t>4.20 The background environment for isolators or RABS should ensure the risk of transfer of contamination is minimized.</w:t>
      </w:r>
    </w:p>
    <w:p>
      <w:r>
        <w:t>i. Isolators:</w:t>
      </w:r>
    </w:p>
    <w:p>
      <w:r>
        <w:t>a. The background environment for open isolators should generally correspond to a minimum of grade C. The background for closed isolators should correspond to a minimum of grade D. The decision on the background classification should be based on risk assessment and justified in the CCS. b. Key considerations when performing the risk assessment for the CCS of an isolator should include (but are not limited to); the bio-decontamination programme, the extent of automation, the impact of glove manipulations that may potentially compromise ‘first air’ protection of critical process points, the impact of potential loss of barrier/glove integrity, transfer mechanisms used and activities such as set-up or maintenance that may require the doors to be opened prior to the final bio-decontamination of the isolator. Where additional process risks are identified, a higher grade of background should be considered unless appropriately justified in the CCS. c. Airflow pattern studies should be performed at the interfaces of open isolators to demonstrate the absence of air ingress.</w:t>
      </w:r>
    </w:p>
    <w:p>
      <w:r>
        <w:t>ii. RABS:</w:t>
      </w:r>
    </w:p>
    <w:p>
      <w:r>
        <w:t>The background environment for RABS used for aseptic processing should correspond to a minimum of grade B and airflow pattern studies should be performed to demonstrate the absence of air ingress during interventions, including door openings if applicable.</w:t>
      </w:r>
    </w:p>
    <w:p>
      <w:r>
        <w:t>4.21 The materials used for glove systems (for both isolators and RABS), should be demonstrated to have appropriate mechanical and chemical resistance. The frequency of glove replacement should be defined within the CCS.</w:t>
      </w:r>
    </w:p>
    <w:p>
      <w:r>
        <w:t>i. Isolators:</w:t>
      </w:r>
    </w:p>
    <w:p>
      <w:r>
        <w:t>a. For isolators, leak testing of the glove system should be performed using a methodology demonstrated to be suitable for the task and criticality. The testing should be performed at defined intervals. Generally glove integrity testing should be performed at a minimum frequency of the beginning and end of each batch or campaign. Additional glove integrity testing may be necessary depending on the validated campaign length. Glove integrity monitoring should include a visual inspection associated with each use and following any manipulation that may affect the integrity of the system. For manual aseptic processing activities where single unit or small batch sizes are produced, the frequency of integrity verification may be based on other criteria, such as the beginning and end of each manufacturing session. b. Integrity / leak testing of isolator systems should be performed at defined intervals.</w:t>
      </w:r>
    </w:p>
    <w:p>
      <w:r>
        <w:t>ii. RABS:</w:t>
      </w:r>
    </w:p>
    <w:p>
      <w:r>
        <w:t>For RABS, gloves used in the grade A area should be sterilised before installation and sterilised or effectively bio-decontaminated by a validated method prior to each manufacturing campaign. If exposed to the background environment during operation, disinfection using an approved methodology following each exposure should be completed. Gloves should be visually examined with each use, and integrity testing should be performed at periodic intervals.</w:t>
      </w:r>
    </w:p>
    <w:p>
      <w:r>
        <w:t>4.22 Decontamination methods (cleaning and bio-decontamination, and where applicable inactivation for biological materials) should be appropriately defined and controlled. The cleaning process prior to the bio-decontamination step is essential; any residues that remain may inhibit the effectiveness of the decontamination process. Evidence should also be available to demonstrate that the cleaning and biodecontamination agents used do not have adverse impact on the product produced within the RABS or isolator.</w:t>
      </w:r>
    </w:p>
    <w:p>
      <w:r>
        <w:t>i. For isolators</w:t>
      </w:r>
    </w:p>
    <w:p>
      <w:r>
        <w:t>The bio-decontamination process of the interior should be automated, validated and controlled within defined cycle parameters and should include a sporicidal agent in a suitable form (e.g. gaseous or vaporized form). Gloves should be appropriately extended with fingers separated to ensure contact with the agent. Methods used (cleaning and sporicidal bio-decontamination) should render the interior surfaces and critical zone of the isolator free from viable microorganisms.</w:t>
      </w:r>
    </w:p>
    <w:p>
      <w:r>
        <w:t>ii. For RABS</w:t>
      </w:r>
    </w:p>
    <w:p>
      <w:r>
        <w:t>The sporicidal disinfection should include the routine application of a sporicidal agent using a method that has been validated and demonstrated to robustly include all areas of the interior surfaces and ensure a suitable environment for aseptic processing.</w:t>
      </w:r>
    </w:p>
    <w:p>
      <w:pPr>
        <w:pStyle w:val="Heading2"/>
      </w:pPr>
      <w:r>
        <w:t>Cleanroom and clean air equipment qualification</w:t>
      </w:r>
    </w:p>
    <w:p>
      <w:r>
        <w:t>4.23 Cleanrooms and clean air equipment such as unidirectional airflow units (UDAFs), RABS and isolators, used for the manufacture of sterile products, should be qualified according to the required characteristics of the environment. Each manufacturing operation requires an appropriate environmental cleanliness level in the operational state in order to minimize the risk of contamination of the product or materials being handled. Appropriate cleanliness levels in the “at rest” and “operational” states should be maintained.</w:t>
      </w:r>
    </w:p>
    <w:p>
      <w:r>
        <w:t>4.24 Cleanrooms and clean air equipment should be qualified using methodology in accordance with the requirements of Annex 15. Cleanroom qualification (including classification) should be clearly differentiated from operational environmental monitoring.</w:t>
      </w:r>
    </w:p>
    <w:p>
      <w:r>
        <w:t>4.25 Cleanroom and clean air equipment qualification is the overall process of assessing the level of compliance of a classified cleanroom or clean air equipment with its intended use. As part of the qualification requirements of Annex 15, the qualification of cleanrooms and clean air equipment should include (where relevant to the design/operation of the installation):</w:t>
      </w:r>
    </w:p>
    <w:p>
      <w:r>
        <w:t>i. Installed filter system leakage and integrity testing.</w:t>
      </w:r>
    </w:p>
    <w:p>
      <w:r>
        <w:t>ii. Airflow tests - volume and velocity.</w:t>
      </w:r>
    </w:p>
    <w:p>
      <w:r>
        <w:t>iii. Air pressure difference test.</w:t>
      </w:r>
    </w:p>
    <w:p>
      <w:r>
        <w:t>iv. Airflow direction test and visualisation.</w:t>
      </w:r>
    </w:p>
    <w:p>
      <w:r>
        <w:t>v. Microbial airborne and surface contamination.</w:t>
      </w:r>
    </w:p>
    <w:p>
      <w:r>
        <w:t>vi. Temperature measurement test.</w:t>
      </w:r>
    </w:p>
    <w:p>
      <w:r>
        <w:t>vii. Relative humidity test.</w:t>
      </w:r>
    </w:p>
    <w:p>
      <w:r>
        <w:t>viii. Recovery test.</w:t>
      </w:r>
    </w:p>
    <w:p>
      <w:r>
        <w:t>ix. Containment leak test.</w:t>
      </w:r>
    </w:p>
    <w:p>
      <w:r>
        <w:t>Reference for the qualification of the cleanrooms and clean air equipment can be found in the ISO 14644 series of standards.</w:t>
      </w:r>
    </w:p>
    <w:p>
      <w:r>
        <w:t>4.26 Cleanroom classification is part of the cleanroom qualification and is a method of assessing the level of air cleanliness against a specification for a cleanroom or clean air equipment by measuring the total particle concentration. Classification activities should be scheduled and performed in order to avoid any impact on process or product quality. For example, initial classification should be performed during simulated operations and reclassification performed during simulated operations or during aseptic process simulation (APS).</w:t>
      </w:r>
    </w:p>
    <w:p>
      <w:r>
        <w:t>4.27 For cleanroom classification, the total of particles equal to or greater than 0.5 and 5 µm should be measured. This measurement should be performed both at rest and in simulated operations in accordance with the limits specified in Table 1.</w:t>
      </w:r>
    </w:p>
    <w:p>
      <w:pPr>
        <w:pStyle w:val="Heading2"/>
      </w:pPr>
      <w:r>
        <w:t>Table 1: Maximum permitted total particle concentration for classification</w:t>
      </w:r>
    </w:p>
    <w:p>
      <w:r>
        <w:rPr>
          <w:b/>
        </w:rPr>
        <w:t>Tabelle (zeilenweise wiedergegeben):</w:t>
      </w:r>
    </w:p>
    <w:p>
      <w:pPr>
        <w:pStyle w:val="ListBullet"/>
      </w:pPr>
      <w:r>
        <w:t>Grade: A; Maximum limits for total particle ≥ 0.5 µm/m3 at rest: 3 520; in operation: 3 520; Maximum limits for total particle ≥ 5 µm/m3 at rest: Not specified (a); in operation: Not specified (a).</w:t>
      </w:r>
    </w:p>
    <w:p>
      <w:pPr>
        <w:pStyle w:val="ListBullet"/>
      </w:pPr>
      <w:r>
        <w:t>Grade: B; Maximum limits for total particle ≥ 0.5 µm/m3 at rest: 3 520; in operation: 352 000; Maximum limits for total particle ≥ 5 µm/m3 at rest: Not specified (a); in operation: 2 930.</w:t>
      </w:r>
    </w:p>
    <w:p>
      <w:pPr>
        <w:pStyle w:val="ListBullet"/>
      </w:pPr>
      <w:r>
        <w:t>Grade: C; Maximum limits for total particle ≥ 0.5 µm/m3 at rest: 352 000; in operation: 3 520 000; Maximum limits for total particle ≥ 5 µm/m3 at rest: 2 930; in operation: 29 300.</w:t>
      </w:r>
    </w:p>
    <w:p>
      <w:pPr>
        <w:pStyle w:val="ListBullet"/>
      </w:pPr>
      <w:r>
        <w:t>Grade: D; Maximum limits for total particle ≥ 0.5 µm/m3 at rest: 3 520 000; in operation: Not predetermined (b); Maximum limits for total particle ≥ 5 µm/m3 at rest: 29 300; in operation: Not predetermined (b).</w:t>
      </w:r>
    </w:p>
    <w:p>
      <w:r>
        <w:t>(a) Classification including 5µm particles may be considered where indicated by the CCS or historical trends.</w:t>
      </w:r>
    </w:p>
    <w:p>
      <w:r>
        <w:t>(b) For grade D, in operation limits are not predetermined. The manufacturer should establish in operation limits based on a risk assessment and routine data where applicable.</w:t>
      </w:r>
    </w:p>
    <w:p>
      <w:r>
        <w:t>4.28 For classification of the cleanroom, the minimum number of sampling locations and their positioning can be found in ISO 14644 Part 1. For the aseptic processing area and the background environment (the grade A and grade B areas, respectively), additional sample locations should be considered and all critical processing areas such as the point of fill and container closure feeder bowls should be evaluated. Critical processing locations should be determined by documented risk assessment and knowledge of the process and operations to be performed in the area.</w:t>
      </w:r>
    </w:p>
    <w:p>
      <w:r>
        <w:t>4.29 Cleanroom classification should be carried out in the “at rest” and “in operation” states.</w:t>
      </w:r>
    </w:p>
    <w:p>
      <w:r>
        <w:t>i. The definition of “at rest” state is the condition whereby the installation of all the utilities is complete including any functioning HVAC, with the main manufacturing equipment installed as specified but not operating and without personnel present in the room.</w:t>
      </w:r>
    </w:p>
    <w:p>
      <w:r>
        <w:t>ii. The definition of “in operation” state is the condition where the installation of the cleanroom is complete, the HVAC system fully operational, equipment installed and functioning in the manufacturer’s defined operating mode with the maximum number of personnel present performing or simulating routine operational work.</w:t>
      </w:r>
    </w:p>
    <w:p>
      <w:r>
        <w:t>iii. The total particle limits given in Table 1 above for the “at rest” state should be achieved after a “clean up” period on completion of operations and line clearance/cleaning activities. The "clean up" period (guidance value of less than 20 minutes) should be determined during the qualification of the rooms, documented and adhered to in procedures to reinstate a qualified state of cleanliness if disrupted during operation.</w:t>
      </w:r>
    </w:p>
    <w:p>
      <w:r>
        <w:t>4.30 The speed of air supplied by unidirectional airflow systems should be clearly justified in the qualification protocol including the location for air speed measurement. Air speed should be designed, measured and maintained to ensure that appropriate unidirectional air movement provides protection of the product and open components at the working position (e.g. where high-risk operations occur and where product and/or components are exposed). Unidirectional airflow systems should provide a homogeneous air speed in a range of 0.36 – 0.54 m/s (guidance value) at the working position, unless otherwise scientifically justified in the CCS. Airflow visualization studies should correlate with the air speed measurement.</w:t>
      </w:r>
    </w:p>
    <w:p>
      <w:r>
        <w:t>4.31 The microbial contamination level of the cleanrooms should be determined as part of the cleanroom qualification. The number of sampling locations should be based on a documented risk assessment and the results obtained from room classification, air visualization studies and knowledge of the process and operations to be performed in the area. The maximum limits for microbial contamination during qualification for each grade are given in Table 2. Qualification should include both “at rest” and “in operation” states.</w:t>
      </w:r>
    </w:p>
    <w:p>
      <w:pPr>
        <w:pStyle w:val="Heading2"/>
      </w:pPr>
      <w:r>
        <w:t>Table 2: Maximum permitted microbial contamination level during qualification</w:t>
      </w:r>
    </w:p>
    <w:p>
      <w:r>
        <w:rPr>
          <w:b/>
        </w:rPr>
        <w:t>Tabelle (zeilenweise wiedergegeben):</w:t>
      </w:r>
    </w:p>
    <w:p>
      <w:pPr>
        <w:pStyle w:val="ListBullet"/>
      </w:pPr>
      <w:r>
        <w:t>Grade: A; Air sample CFU/m3: No growth.</w:t>
      </w:r>
    </w:p>
    <w:p>
      <w:pPr>
        <w:pStyle w:val="ListBullet"/>
      </w:pPr>
      <w:r>
        <w:t>Grade: B; Air sample CFU/m3: 10; Settle plates (diameter 90 mm) CFU/4 hours (a): 5; Contact plates (diameter 55 mm) CFU/plate: 5.</w:t>
      </w:r>
    </w:p>
    <w:p>
      <w:pPr>
        <w:pStyle w:val="ListBullet"/>
      </w:pPr>
      <w:r>
        <w:t>Grade: C; Air sample CFU/m3: 100; Settle plates (diameter 90 mm) CFU/4 hours (a): 50; Contact plates (diameter 55 mm) CFU/plate: 25.</w:t>
      </w:r>
    </w:p>
    <w:p>
      <w:pPr>
        <w:pStyle w:val="ListBullet"/>
      </w:pPr>
      <w:r>
        <w:t>Grade: D; Air sample CFU/m3: 200; Settle plates (diameter 90 mm) CFU/4 hours (a): 100; Contact plates (diameter 55 mm) CFU/plate: 50.</w:t>
      </w:r>
    </w:p>
    <w:p>
      <w:r>
        <w:t>(a) Settle plates should be exposed for the duration of operations and changed as required after a maximum of 4 hours. Exposure time should be based on recovery studies and should not allow desiccation of the media used.</w:t>
      </w:r>
    </w:p>
    <w:p>
      <w:r>
        <w:t>Note 1: All methods indicated for a specific grade in the table should be used for qualifying the area of that specific grade. If one of the methods tabulated is not used, or alternative methods are used, the approach taken should be appropriately justified.</w:t>
      </w:r>
    </w:p>
    <w:p>
      <w:r>
        <w:t>Note 2: Limits are applied using CFU throughout the document. If different or new technologies are used that present results in a manner different from CFU, the manufacturer should scientifically justify the limits applied and where possible correlate them to CFU.</w:t>
      </w:r>
    </w:p>
    <w:p>
      <w:r>
        <w:t>Note 3: For the qualification of personnel gowning, the limits given for contact plates and glove prints in Table 6 should apply.</w:t>
      </w:r>
    </w:p>
    <w:p>
      <w:r>
        <w:t>Note 4: Sampling methods should not pose a risk of contamination to the manufacturing operations.</w:t>
      </w:r>
    </w:p>
    <w:p>
      <w:r>
        <w:t>4.32 The requalification of cleanrooms and clean air equipment should be carried out periodically following defined procedures. The requalification should include at a minimum the following:</w:t>
      </w:r>
    </w:p>
    <w:p>
      <w:r>
        <w:t>- Cleanroom classification (total particle concentration).</w:t>
      </w:r>
    </w:p>
    <w:p>
      <w:r>
        <w:t>- Integrity test of final filters.</w:t>
      </w:r>
    </w:p>
    <w:p>
      <w:r>
        <w:t>- Airflow volume measurement.</w:t>
      </w:r>
    </w:p>
    <w:p>
      <w:r>
        <w:t>- Verification of air pressure difference between rooms.</w:t>
      </w:r>
    </w:p>
    <w:p>
      <w:r>
        <w:t>- Air velocity test (Note: For grade B, C and D the air velocity test should be performed according to a risk assessment documented as part of the CCS. However, it is required for filling zones supplied with unidirectional airflow (e.g. when filling terminally sterilised products or background to grade A and RABS). For grades with non-unidirectional airflow, a measurement of recovery testing should replace velocity testing).</w:t>
      </w:r>
    </w:p>
    <w:p>
      <w:r>
        <w:t>The maximum time interval for requalification of grade A &amp; B areas, is 6 months. The maximum time interval for requalification of grade C &amp; D areas, is 12 months.</w:t>
      </w:r>
    </w:p>
    <w:p>
      <w:r>
        <w:t>Appropriate requalification consisting of at least the above tests should also be carried out following completion of remedial action implemented to rectify an out of compliance equipment or facility condition or after changes to equipment, facility or processes as appropriate. The significance of a change should be determined through the change management process. Examples of changes to be considered include but are not limited to the following:</w:t>
      </w:r>
    </w:p>
    <w:p>
      <w:r>
        <w:t>i. Interruption of air movement which affects the operation of the installation.</w:t>
      </w:r>
    </w:p>
    <w:p>
      <w:r>
        <w:t>ii. Change in the design of the cleanroom or of the operational setting parameters of the HVAC system.</w:t>
      </w:r>
    </w:p>
    <w:p>
      <w:r>
        <w:t>iii. Special maintenance which affects the operation of the installation (e.g. change of final filters).</w:t>
      </w:r>
    </w:p>
    <w:p>
      <w:pPr>
        <w:pStyle w:val="Heading2"/>
      </w:pPr>
      <w:r>
        <w:t>Disinfection</w:t>
      </w:r>
    </w:p>
    <w:p>
      <w:r>
        <w:t>4.33 The disinfection of cleanrooms is particularly important. They should be cleaned and disinfected thoroughly in accordance with a written programme. For disinfection to be effective, prior cleaning to remove surface contamination should be performed. Cleaning programmes should effectively remove disinfectant residues. More than one type of disinfecting agent should be employed to ensure that where they have different modes of action, their combined usage is effective against bacteria and fungi. Disinfection should include the periodic use of a sporicidal agent. Monitoring should be undertaken regularly in order to assess the effectiveness of the disinfection programme and to detect changes in types of microbial flora (e.g. organisms resistant to the disinfection regime currently in use).</w:t>
      </w:r>
    </w:p>
    <w:p>
      <w:r>
        <w:t>4.34 The disinfection process should be validated. Validation studies should demonstrate the suitability and effectiveness of disinfectants in the specific manner in which they are used and on the type of surface material, or representative material if justified, and should support the in-use expiry periods of prepared solutions.</w:t>
      </w:r>
    </w:p>
    <w:p>
      <w:r>
        <w:t>4.35 Disinfectants and detergents used in grade A and grade B areas should be sterile prior to use. Disinfectants used in grade C and D may also be required to be sterile where determined in the CCS. Where the disinfectants and detergents are diluted / prepared by the sterile product manufacturer, this should be done in a manner to prevent contamination and they should be monitored for microbial contamination. Dilutions should be kept in previously cleaned containers (and sterilized where applicable) and should only be stored for the defined period. If the disinfectants and detergents are supplied “ready-made” then results from certificates of analysis or conformance can be accepted subject to successful completion of the appropriate vendor qualification.</w:t>
      </w:r>
    </w:p>
    <w:p>
      <w:r>
        <w:t>4.36 Where fumigation or vapour disinfection (e.g. Vapour-phase Hydrogen Peroxide) of cleanrooms and associated surfaces are used, the effectiveness of any fumigation agent and dispersion system should be understood and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 Herstellung steriler Arzneimittel (EN) (1 von 5) Kap 1-4 Scope, Principle, Pharmaceutical Quality</dc:title>
  <dc:subject>https://health.ec.europa.eu/document/download/e05af55b-38e9-42bf-8495-194bbf0b9262_en?filename=20220825_gmp-an1_en_0.pdf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