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2 Biologische Wirkstoffe und Arzneimittel (EN) (2 von 3) PART A. GENERAL GUIDANCE</w:t>
      </w:r>
    </w:p>
    <w:p>
      <w:r>
        <w:t>Quelle: https://health.ec.europa.eu/document/download/380fdf24-8a1e-4f65-809b-e08d990d5f9e_en?filename=2018_annex2_en.pdf</w:t>
      </w:r>
    </w:p>
    <w:p>
      <w:pPr>
        <w:pStyle w:val="Heading1"/>
      </w:pPr>
      <w:r>
        <w:t>PART A. GENERAL GUIDANCE</w:t>
      </w:r>
    </w:p>
    <w:p>
      <w:pPr>
        <w:pStyle w:val="Heading2"/>
      </w:pPr>
      <w:r>
        <w:t>Personnel</w:t>
      </w:r>
    </w:p>
    <w:p>
      <w:r>
        <w:t>1. Personnel (including those concerned with cleaning, maintenance or quality control) employed in areas where biological active substances and products are manufactured and tested should receive training, and periodic retraining, specific to the products manufactured to their work, including any specific security measures to protect product, personnel and the environment.</w:t>
      </w:r>
    </w:p>
    <w:p>
      <w:r>
        <w:t>2. The health status of personnel should be taken into consideration for product safety. Where necessary, personnel engaged in production, maintenance, testing and animal care (and inspections) should be vaccinated with appropriate specific vaccines and have regular health checks.</w:t>
      </w:r>
    </w:p>
    <w:p>
      <w:r>
        <w:t>3. Any changes in the health status of personnel, which could adversely affect the quality of the product, should preclude work in the production area and appropriate records kept. Production of BCG vaccine and tuberculin products should be restricted to staff who are carefully monitored by regular checks of immunological status or chest Xray. Health monitoring of staff should be commensurate with the risk, medical advice should be sought for personnel involved with hazardous organisms.</w:t>
      </w:r>
    </w:p>
    <w:p>
      <w:r>
        <w:t>4. Where required to minimise the opportunity for cross-contamination, restrictions on the movement of all personnel (including quality control (QC), maintenance and cleaning staff) should be controlled on the basis of QRM principles. In general, personnel should not pass from areas where exposure to live micro-organisms, genetically modified organisms, toxins or animals to areas where other products, inactivated products or different organisms are handled. If such passage is unavoidable, the contamination control measures should be based on QRM principles.</w:t>
      </w:r>
    </w:p>
    <w:p>
      <w:pPr>
        <w:pStyle w:val="Heading2"/>
      </w:pPr>
      <w:r>
        <w:t>Premises and Equipment</w:t>
      </w:r>
    </w:p>
    <w:p>
      <w:r>
        <w:t>5. As part of the control strategy, the degree of environmental control of particulate and microbial contamination of the production premises should be adapted to the active substance, intermediate or finished product and the production step, bearing in mind the potential level of contamination of the starting materials and the risks to the product. The environmental monitoring programme should be supplemented by the inclusion of methods to detect the presence of specific microorganisms (i.e. host organism, yeast, moulds, anaerobes, etc) where indicated by the QRM process.</w:t>
      </w:r>
    </w:p>
    <w:p>
      <w:r>
        <w:t>Fußnote 12 OJ L 294, 25.10.2006, p. 32.</w:t>
      </w:r>
    </w:p>
    <w:p>
      <w:r>
        <w:t>6. Manufacturing and storage facilities, processes and environmental classifications should be designed to prevent the extraneous contamination of products. Prevention of contamination is more appropriate than detection and removal, although contamination is likely to become evident during processes such as fermentation and cell culture. Where processes are not closed and there is therefore exposure of the product to the immediate room environment (e.g. during additions of supplements, media, buffers, gasses) control measures should be put in place, including engineering and environmental controls on the basis of QRM principles. These QRM principles should take into account the principles and guidance from the appropriate sections of Annex 113 to EudraLex, Volume 4, when selecting environmental classification cascades and associated controls.</w:t>
      </w:r>
    </w:p>
    <w:p>
      <w:r>
        <w:t>7. Dedicated production areas should be used for the handling of live cells capable of persistence in the manufacturing environment. Dedicated production area should be used for the manufacture of pathogenic organisms (i.e. Biosafety level 3 or 4).</w:t>
      </w:r>
    </w:p>
    <w:p>
      <w:r>
        <w:t>8. Manufacture in a multi-product facility may be acceptable where the following, or equivalent (as appropriate to the product types involved) considerations and measures are part of an effective control strategy to prevent cross-contamination:</w:t>
      </w:r>
    </w:p>
    <w:p>
      <w:r>
        <w:t>(a) Knowledge of key characteristics of all cells, organisms and any adventitious agents (e.g. pathogenicity, detectability, persistence, susceptibility to inactivation) within the same facility.</w:t>
      </w:r>
    </w:p>
    <w:p>
      <w:r>
        <w:t>(b) Where production is characterised by multiple small batches from different starting materials factors such as the health status of donors and the risk of total loss of product should be taken into account when considering the acceptance of concurrent working during development of the control strategy.</w:t>
      </w:r>
    </w:p>
    <w:p>
      <w:r>
        <w:t>(c) Live organisms and spores are prevented from entering non-related areas or equipment by addressing all potential routes of cross-contamination and utilizing single use components and engineering measures such as closed systems.</w:t>
      </w:r>
    </w:p>
    <w:p>
      <w:r>
        <w:t>(d) Control measures to remove the organisms and spores before the subsequent manufacture of other products, these control measures should also take the heating, ventilation and air conditioning (HVAC) system into account. Cleaning and decontamination for the organisms and spores should be validated.</w:t>
      </w:r>
    </w:p>
    <w:p>
      <w:r>
        <w:t>Fußnote 13 Although the title of Annex 1 refers to the manufacture of sterile medicinal products it is not the intention to force the manufacture of sterile product at a stage when a low bioburden is appropriate and authorised. Its use is because it is the only EU GMP source of guidance on all of the classified manufacturing areas including the lower grades D and C.</w:t>
      </w:r>
    </w:p>
    <w:p>
      <w:r>
        <w:t>(e) Environmental monitoring specific for the micro-organism being manufactured, where the micro-organisms are capable of persistence in the manufacturing environment and where methods are available, is conducted in adjacent areas during manufacture and after completion of cleaning and decontamination. Attention should also be given to risks arising with use of certain monitoring equipment (e.g. airborne particle monitoring) in areas handling live and/or spore forming organisms.</w:t>
      </w:r>
    </w:p>
    <w:p>
      <w:r>
        <w:t>(f) Products, equipment, ancillary equipment (e.g. for calibration and validation) and disposable items are only moved within and removed from such areas in a manner that prevents contamination of other areas, other products and different product stages (e.g. prevent contamination of inactivated or toxoided products with non-inactivated products).</w:t>
      </w:r>
    </w:p>
    <w:p>
      <w:r>
        <w:t>(g) Campaign-based manufacturing.</w:t>
      </w:r>
    </w:p>
    <w:p>
      <w:r>
        <w:t>9. For finishing (secondary) operations14, the need for dedicated facilities will depend on consideration of the above together with additional considerations such as the specific needs of the biological medicinal product and on the characteristics of other products, including any non-biological products, in the same facility. Other control measures for finishing operations may include the need for specific addition sequences, mixing speeds, time and temperature controls, limits on exposure to light and containment and cleaning procedures in the event of spillages.</w:t>
      </w:r>
    </w:p>
    <w:p>
      <w:r>
        <w:t>10. The measures and procedures necessary for containment (i.e. for environment and operator safety) should not conflict with those for product quality.</w:t>
      </w:r>
    </w:p>
    <w:p>
      <w:r>
        <w:t>11. Air handling units should be designed, constructed and maintained to minimise the risk of cross-contamination between different manufacturing areas and may need to be specific for an area. Consideration, based on QRM principles, should be given to the use of single pass air systems.</w:t>
      </w:r>
    </w:p>
    <w:p>
      <w:r>
        <w:t>12. Positive pressure areas should be used to process sterile products but negative pressure in specific areas at the point of exposure of pathogens is acceptable for containment reasons. Where negative pressure areas or safety cabinets are used for aseptic processing of materials with particular risks (e.g. pathogens) they should be surrounded by a positive pressure clean zone of appropriate grade. These pressure cascades should be clearly defined and continuously monitored with appropriate alarm settings.</w:t>
      </w:r>
    </w:p>
    <w:p>
      <w:r>
        <w:t>13. Equipment used during handling of live organisms and cells, including those for sampling, should be designed to prevent any contamination during processing.</w:t>
      </w:r>
    </w:p>
    <w:p>
      <w:r>
        <w:t>Fußnote 14 Formulation, filling and packaging</w:t>
      </w:r>
    </w:p>
    <w:p>
      <w:r>
        <w:t>14. Primary containment15 should be designed and periodically tested to ensure the prevention of escape of biological agents into the immediate working environment.</w:t>
      </w:r>
    </w:p>
    <w:p>
      <w:r>
        <w:t>15. The use of 'clean in place' and ‘steam in place’ (‘sterilisation in place’) systems should be used where possible. Valves on fermentation vessels should be completely steam sterilisable.</w:t>
      </w:r>
    </w:p>
    <w:p>
      <w:r>
        <w:t>16. Air vent filters should be hydrophobic and validated for their scheduled life span with integrity testing at appropriate intervals based on appropriate QRM principles.</w:t>
      </w:r>
    </w:p>
    <w:p>
      <w:r>
        <w:t>17. Drainage systems must be designed so that effluents can be effectively neutralised or decontaminated to minimise the risk of cross-contamination. Local regulation must be complied with to minimise the risk of contamination of the external environment according to the risk associated with the biohazardous nature of waste materials.</w:t>
      </w:r>
    </w:p>
    <w:p>
      <w:pPr>
        <w:pStyle w:val="Heading2"/>
      </w:pPr>
      <w:r>
        <w:t>18. Due to the variability of biological products or manufacturing processes, relevant/critical raw materials (such as culture media and buffers) have to be measured or weighed during the production process. In these cases, small stocks of these raw materials may be kept in the production area for a specified duration based on defined criteria such as for the duration of manufacture of the batch or of the campaign.</w:t>
      </w:r>
    </w:p>
    <w:p>
      <w:pPr>
        <w:pStyle w:val="Heading2"/>
      </w:pPr>
      <w:r>
        <w:t>Animals</w:t>
      </w:r>
    </w:p>
    <w:p>
      <w:r>
        <w:t>19. A wide range of animal species are used in the manufacture of a number of biological medicinal products. These can be divided into 2 broad types of sources:</w:t>
      </w:r>
    </w:p>
    <w:p>
      <w:r>
        <w:t>(a) Live groups, herds, flocks: examples include polio vaccine (monkeys), immunosera to snake venoms and tetanus (horses, sheep and goats), allergens (cats), rabies vaccine (rabbits, mice and hamsters), transgenic products (goats, cattle).</w:t>
      </w:r>
    </w:p>
    <w:p>
      <w:r>
        <w:t>(b) Animal materials derived post-mortem and from establishments such as abattoirs: examples include abattoir sources for enzymes, anticoagulants and hormones (sheep and pigs).</w:t>
      </w:r>
    </w:p>
    <w:p>
      <w:r>
        <w:t>In addition, animals may also be used in quality control either in generic assays, e.g. pyrogenicity, or specific potency assays, e.g. pertussis vaccine (mice), pyrogenicity (rabbits), BCG vaccine (guinea-pigs).</w:t>
      </w:r>
    </w:p>
    <w:p>
      <w:r>
        <w:t>20. In addition to compliance with TSE regulations, other adventitious agents that are of concern (zoonotic diseases, diseases of source animals) should be monitored by an ongoing health programme and recorded. Specialist advice should be obtained in establishing such programmes. Instances of ill-health occurring in the source/donor animals should be investigated with respect to their suitability and the suitability of incontact animals for continued use (in manufacture, as sources of starting and raw materials, in quality control and safety testing), the decisions must be documented. A look-back procedure should be in place which informs the decision-making process on the continued suitability of the biological active substance or medicinal product in which the animal sourced starting or raw materials have been used or incorporated. This decision-making process may include the re-testing of retained samples from previous collections from the same donor animal (where applicable) to establish the last negative donation. The withdrawal period of therapeutic agents used to treat source/donor animals must be documented and used to determine the removal of those animals from the programme for defined periods.</w:t>
      </w:r>
    </w:p>
    <w:p>
      <w:r>
        <w:t>Fußnote 15 See main GMP Glossary on ‘Containment’</w:t>
      </w:r>
    </w:p>
    <w:p>
      <w:r>
        <w:t>21. Particular care should be taken to prevent and monitor infections in the source/donor animals. Measures should include the sourcing, facilities, husbandry, biosecurity procedures, testing regimes, control of bedding and feed materials. This is of special relevance to specified pathogen free animals where PhEur monograph requirements must be met. Housing and health monitoring should be defined for other categories of animals (e.g. healthy flocks or herds).</w:t>
      </w:r>
    </w:p>
    <w:p>
      <w:r>
        <w:t>22. For products manufactured from transgenic animals, traceability should be maintained in the creation of such animals from the source animals.</w:t>
      </w:r>
    </w:p>
    <w:p>
      <w:r>
        <w:t>23. Note should be taken of Directive 2010/63/EU on the protection of animals used for scientific purposes16. Housing for animals used in production and control of biological active substances and medicinal products should be separated from production and control areas.</w:t>
      </w:r>
    </w:p>
    <w:p>
      <w:r>
        <w:t>24. For different animal species, key criteria should be defined, monitored, and recorded. These may include age, weight and health status of the animals.</w:t>
      </w:r>
    </w:p>
    <w:p>
      <w:r>
        <w:t>25. Animals, biological agents, and tests carried out should be the subject of an identification system to prevent any risk of confusion and to control all identified hazards.</w:t>
      </w:r>
    </w:p>
    <w:p>
      <w:pPr>
        <w:pStyle w:val="Heading2"/>
      </w:pPr>
      <w:r>
        <w:t>Documentation</w:t>
      </w:r>
    </w:p>
    <w:p>
      <w:r>
        <w:t>26. Starting and raw materials may need additional documentation on the source, origin, distribution chain, method of manufacture, and controls applied, to assure an appropriate level of control including their microbiological quality.</w:t>
      </w:r>
    </w:p>
    <w:p>
      <w:r>
        <w:t>27. Some product types may require specific definition of what materials constitutes a batch, particularly cells. For autologous and donor-matched situations, the manufactured product should be viewed as a batch.</w:t>
      </w:r>
    </w:p>
    <w:p>
      <w:r>
        <w:t>28. Where human cell or tissue donors are used full traceability is required from starting and raw materials, including all substances coming into contact with the cells or tissues through to confirmation of the receipt of the products at the point of use whilst maintaining the privacy of individuals and confidentiality of health related information. Traceability records must be retained for 30 years after the expiry date of the medicinal product. Particular care should be taken to maintain the traceability of medicinal products for special use cases, such as donor-matched cells. Directives 2002/98/EC and Commission Directive 2005/61/EC of 30 September 2005 implementing Directive 2002/98/EC of the European Parliament and of the Council as regards traceability requirements and notification of serious adverse reactions and events17 apply to blood components when they are used as starting or raw materials in the manufacturing process of medicinal products.</w:t>
      </w:r>
    </w:p>
    <w:p>
      <w:r>
        <w:t>Fußnote 16 Directive 2010/63/EU of the European Parliament and of the Council of 22 September 2010 on the protection of animals used for scientific purposes, OJ L 276, 10.10.2010, p.33</w:t>
      </w:r>
    </w:p>
    <w:p>
      <w:pPr>
        <w:pStyle w:val="Heading2"/>
      </w:pPr>
      <w:r>
        <w:t>Production</w:t>
      </w:r>
    </w:p>
    <w:p>
      <w:r>
        <w:t>29. Given the variability inherent in many biological active substances and medicinal products, steps to increase process robustness thereby reducing process variability and enhancing reproducibility at the different stages of the product lifecycle such as process design should be reassessed during Product Quality Reviews.</w:t>
      </w:r>
    </w:p>
    <w:p>
      <w:r>
        <w:t>30. Since cultivation conditions, media and reagents are designed to promote the growth of cells or microbial organisms, typically in an axenic state, particular attention should be paid in the control strategy to ensure there are robust steps that prevent or minimise the occurrence of unwanted bioburden and associated metabolites and endotoxins. For medicinal products from cells and tissues where production batches are frequently small the risk of cross-contamination between cell preparations from different donors with various health status should be controlled under defined procedures and requirements.</w:t>
      </w:r>
    </w:p>
    <w:p>
      <w:pPr>
        <w:pStyle w:val="Heading2"/>
      </w:pPr>
      <w:r>
        <w:t>Starting and raw materials</w:t>
      </w:r>
    </w:p>
    <w:p>
      <w:r>
        <w:t>31. The source, origin and suitability of biological starting and raw materials (e.g. cryoprotectants, feeder cells, reagents, culture media, buffers, serum, enzymes, cytokines, growth factors) should be clearly defined. Where the necessary tests take a long time, it may be permissible to process starting materials before the results of the tests are available, the risk of using a potentially failed material and its potential impact on other batches should be clearly understood and assessed under the principles of QRM. In such cases, release of a finished product is conditional on satisfactory results of these tests. The identification of all starting materials should be in compliance with the requirements appropriate to its stage of manufacture. For biological medicinal products further guidance can be found in Part I and Annex 8 and for biological active substances in Part II.</w:t>
      </w:r>
    </w:p>
    <w:p>
      <w:r>
        <w:t>32. The risk of contamination of starting and raw materials during their passage along the supply chain must be assessed, with particular emphasis on TSE. Materials that come into direct contact with manufacturing equipment or the product (such as media used in media fill experiments and lubricants that may contact the product) must also be taken into account.</w:t>
      </w:r>
    </w:p>
    <w:p>
      <w:r>
        <w:t>Fußnote 17 OJ L 256, 1.10.2005, p. 32.</w:t>
      </w:r>
    </w:p>
    <w:p>
      <w:r>
        <w:t>33. Given that the risks from the introduction of contamination and the consequences to the finished product is the same irrespective of the stage of manufacture, establishment of a control strategy to protect the product and the preparation of solutions, buffers and other additions should be based on the principles and guidance contained in the appropriate sections of Annex 1. The controls required for the quality of starting and raw materials and on the aseptic manufacturing process assume greater importance, particularly for products in respect of which final sterilisation is not possible. Where an MA or CTA provides for an allowable type and level of bioburden, for example at active substance stage, the control strategy should address the means by which this is maintained within the specified limits.</w:t>
      </w:r>
    </w:p>
    <w:p>
      <w:r>
        <w:t>34. Where sterilization of starting and raw materials is required, it should be carried out where possible by heat. Where necessary, other appropriate methods may also be used for inactivation of biological materials (e.g. irradiation and filtration).</w:t>
      </w:r>
    </w:p>
    <w:p>
      <w:r>
        <w:t>35. Reduction in bioburden associated with procurement of living tissues and cells may require the use of other measures such as antibiotics at early manufacturing stages. This should be avoided, but where it is necessary their use should be justified, they should be removed from the manufacturing process at the stage specified in the MA or CTA.</w:t>
      </w:r>
    </w:p>
    <w:p>
      <w:r>
        <w:t>36. The donation, procurement and testing of human tissues and cells used as starting or raw materials should be in accordance with Directive 2004/23/EC.18 Traceability for human tissues and cells used as starting materials for biological medicinal products should be maintained from the donor to the batch of a finished medicinal product. Appropriate arrangements should be made between the manufacturer and the supplier of tissues and cells regarding the transfer of health donor information that may become available after the supply of the starting material and which may have an impact on the quality or safety of the medicinal product manufactured therefrom.</w:t>
      </w:r>
    </w:p>
    <w:p>
      <w:r>
        <w:t>(a) Their procurement, donation and testing in the EU is regulated under Directive 2004/23/EC and its implementing Commission directives. Such EU supply sites must hold appropriate approvals from the national competent authority(ies) under this Directive which should be verified as part of starting material supplier management.</w:t>
      </w:r>
    </w:p>
    <w:p>
      <w:r>
        <w:t>(b) Where such human cells or tissues are imported from third countries they must meet equivalent Community standards of quality and safety equivalent to those laid down in Directive 2004/23/EC. The traceability and serious adverse reaction and serious adverse event notification requirements are set out in Directive 2006/86/EC.</w:t>
      </w:r>
    </w:p>
    <w:p>
      <w:r>
        <w:t>(c) There may be some instances where processing of cells and tissues used as starting materials for biological medicinal products will be conducted at tissue establishments. Such processing steps, e.g. freezing, are under the scope of Directive 2004/23/EC, which provides for the need of a Responsible Person (RP).</w:t>
      </w:r>
    </w:p>
    <w:p>
      <w:r>
        <w:t>Fußnote 18 For blood-derived cells, compliance with Directive 2002/98 regarding donation, procurement and testing is likewise acceptable.</w:t>
      </w:r>
    </w:p>
    <w:p>
      <w:r>
        <w:t>(d) Tissue and cells are released by the RP in the tissue establishment before shipment to the medicinal product manufacturer, after which normal medicinal product starting material controls apply. The test results of all tissues / cells supplied by the tissue establishment should be available to the manufacturer of the medicinal product. Such information must be used to make appropriate material segregation and storage decisions. In cases where manufacturing must be initiated prior to receiving test results from the tissue establishment, tissue and cells may be shipped to the medicinal product manufacturer provided controls are in place to prevent cross contamination with tissue and cells that have been released by the RP in the tissue establishment.</w:t>
      </w:r>
    </w:p>
    <w:p>
      <w:r>
        <w:t>(e) The transport of human tissues and cells to the manufacturing site must be controlled by a written agreement between the responsible parties. The manufacturing sites should have documentary evidence of adherence to the specified storage and transport conditions.</w:t>
      </w:r>
    </w:p>
    <w:p>
      <w:r>
        <w:t>(f) Continuation of traceability requirements started at tissue establishments through to the recipient(s), and vice versa, including materials in contact with the cells or tissues, should be maintained.</w:t>
      </w:r>
    </w:p>
    <w:p>
      <w:r>
        <w:t>(g) A technical agreement should be in place between the responsible parties (e.g. manufacturers, tissue establishment, Sponsors, MA Holder) which defines the tasks of each party, including the RP and Qualified Person.</w:t>
      </w:r>
    </w:p>
    <w:p>
      <w:r>
        <w:t>38. Where human or animal cells are used in the manufacturing process as feeder cells, appropriate controls over the sourcing, testing, transport and storage should be in place, including control of compliance with donation, procurement and testing standards equivalent to ones set in the Directive 2004/23.</w:t>
      </w:r>
    </w:p>
    <w:p>
      <w:pPr>
        <w:pStyle w:val="Heading2"/>
      </w:pPr>
      <w:r>
        <w:t>Seed lot and cell bank system</w:t>
      </w:r>
    </w:p>
    <w:p>
      <w:r>
        <w:t>39. In order to prevent the unwanted drift of properties which might ensue from repeated subcultures or multiple generations, the production of biological medicinal substances and products obtained by microbial culture, cell culture or propagation in embryos and animals should be based on a system of master and working virus seed lots and/or cell banks.</w:t>
      </w:r>
    </w:p>
    <w:p>
      <w:r>
        <w:t>40. The number of generations (doublings, passages) between the seed lot or cell bank, the active biological substance and the finished product should be consistent with specifications in the MA or CTA.</w:t>
      </w:r>
    </w:p>
    <w:p>
      <w:r>
        <w:t>41. As part of product lifecycle management, establishment of seed lots and cell banks, including master and working generations, should be performed under circumstances which are demonstrably appropriate. This should include an appropriately controlled environment to protect the seed lot and the cell bank and the personnel handling it. During the establishment of the seed lot and cell bank, no other living or infectious material (e.g. virus, cell lines or cell strains) should be handled simultaneously in the same area or by the same persons. For stages prior to the master seed or cell bank generation, where only the principles of GMP may be applied, documentation should be available to support traceability including issues related to components used during development with potential impact on product safety (e.g. reagents of biological origin) from initial sourcing and genetic development if applicable. For vaccines the requirements of Ph Eur monograph 2005;153 “Vaccines for human use” will apply.</w:t>
      </w:r>
    </w:p>
    <w:p>
      <w:r>
        <w:t>42. Following the establishment of master and working cell banks and master and working seed lots, quarantine and release procedures should be followed. This should include adequate characterization and testing for contaminants. Their on-going suitability for use should be further demonstrated by the consistency of the characteristics and quality of the successive batches of product. Evidence of the stability and recovery of the seeds and banks should be documented and records should be kept in a manner permitting trend evaluation.</w:t>
      </w:r>
    </w:p>
    <w:p>
      <w:r>
        <w:t>43. Seed lots and cell banks should be stored and used in such a way as to minimize the risks of contamination, (e.g. stored in the vapour phase of liquid nitrogen in sealed containers) or alteration. Control measures for the storage of different seeds and/or cells in the same area or equipment should prevent mix-up and take account the infectious nature of the materials to prevent cross contamination.</w:t>
      </w:r>
    </w:p>
    <w:p>
      <w:r>
        <w:t>45. Storage containers should be sealed, clearly labelled and kept at an appropriate temperature. A stock inventory must be kept. The storage temperature should be recorded continuously and, where used, the liquid nitrogen level monitored. Deviation from set limits and corrective and preventive action taken should be recorded.</w:t>
      </w:r>
    </w:p>
    <w:p>
      <w:r>
        <w:t>46. It is desirable to split stocks and to store the split stocks at different locations so as to minimize the risks of total loss. The controls at such locations should provide the assurances outlined in the preceding paragraphs.</w:t>
      </w:r>
    </w:p>
    <w:p>
      <w:r>
        <w:t>47. The storage and handling conditions for stocks should be managed according to the same procedures and parameters. Once containers are removed from the seed lot / cell bank management system, the containers should not be returned to stock.</w:t>
      </w:r>
    </w:p>
    <w:p>
      <w:pPr>
        <w:pStyle w:val="Heading2"/>
      </w:pPr>
      <w:r>
        <w:t>Operating principles</w:t>
      </w:r>
    </w:p>
    <w:p>
      <w:r>
        <w:t>48. Change management should, on a periodic basis, take into account the effects, including cumulative effects of changes (e.g. to the process) on the quality, safety and efficacy of the finished product.</w:t>
      </w:r>
    </w:p>
    <w:p>
      <w:r>
        <w:t>49. Critical operational (process) parameters, or other input parameters which affect product quality, need to be identified, validated, documented and be shown to be maintained within requirements.</w:t>
      </w:r>
    </w:p>
    <w:p>
      <w:r>
        <w:t>50. A control strategy for the entry of articles and materials into production areas should be based on QRM principles. For aseptic processes, heat stable articles and materials entering a clean area or clean/contained area should preferably do so through a doubleended autoclave or oven. Heat labile articles and materials should enter through an air lock with interlocked doors where they are subject to effective surface sanitisation procedures. Sterilisation of articles and materials elsewhere is acceptable provided that they are multiple wrappings, as appropriate to the number of stages of entry to the clean area, and enter through an airlock with the appropriate surface sanitisation precautions.</w:t>
      </w:r>
    </w:p>
    <w:p>
      <w:r>
        <w:t>51. The growth promoting properties of culture media should be demonstrated to be suitable for its intended use. If possible, media should be sterilized in situ. In-line sterilizing filters for routine addition of gases, media, acids or alkalis, anti-foaming agents etc. to fermenters should be used where possible.</w:t>
      </w:r>
    </w:p>
    <w:p>
      <w:r>
        <w:t>52. Addition of materials or cultures to fermenters and other vessels and sampling should be carried out under carefully controlled conditions to prevent contamination. Care should be taken to ensure that vessels are correctly connected when addition or sampling takes place.</w:t>
      </w:r>
    </w:p>
    <w:p>
      <w:r>
        <w:t>53. Continuous monitoring of some production processes (e.g. fermentation) may be necessary, such data should form part of the batch record. Where continuous culture is used, special consideration should be given to the quality control requirements arising from this type of production method.</w:t>
      </w:r>
    </w:p>
    <w:p>
      <w:pPr>
        <w:pStyle w:val="Heading2"/>
      </w:pPr>
      <w:r>
        <w:t>54. Centrifugation and blending of products can lead to aerosol formation and containment of such activities to minimise cross-contamination is necessary.</w:t>
      </w:r>
    </w:p>
    <w:p>
      <w:r>
        <w:t>55. Accidental spillages, especially of live organisms, must be dealt with quickly and safely. Qualified decontamination measures should be available for each organism or groups of related organisms. Where different strains of single bacteria species or very similar viruses are involved, the decontamination process may be validated with one representative strain, unless there is reason to believe that they may vary significantly in their resistance to the agent(s) involved.</w:t>
      </w:r>
    </w:p>
    <w:p>
      <w:r>
        <w:t>56. If obviously contaminated, such as by spills or aerosols, or if a potential hazardous organism is involved, production and control materials, including paperwork, must be adequately disinfected, or the information transferred out by other means.</w:t>
      </w:r>
    </w:p>
    <w:p>
      <w:pPr>
        <w:pStyle w:val="Heading2"/>
      </w:pPr>
      <w:r>
        <w:t>57. In cases where a virus inactivation or removal process is performed during manufacture, measures should be taken to avoid the risk of recontamination of treated products by non-treated products.</w:t>
      </w:r>
    </w:p>
    <w:p>
      <w:r>
        <w:t>58. For products that are inactivated by the addition of a reagent (e.g. micro-organisms in the course of vaccine manufacture) the process should ensure the complete inactivation of live organism. In addition to the thorough mixing of culture and inactivant, consideration should be given to contact of all product-contact surfaces exposed to live culture and, where required, the transfer to a second vessel.</w:t>
      </w:r>
    </w:p>
    <w:p>
      <w:r>
        <w:t>59. A wide variety of equipment is used for chromatography. QRM principles should be used to devise the control strategy on matrices, the housings and associated equipment when used in campaign manufacture and in multi-product environments. The re-use of the same matrix at different stages of processing is discouraged. Acceptance criteria, operating conditions, regeneration methods, life span and sanitization or sterilization methods of columns should be defined.</w:t>
      </w:r>
    </w:p>
    <w:p>
      <w:r>
        <w:t>60. Where irradiated equipment and materials are used, Annex 12 to EudraLex, Volume 4, should be consulted for further guidance.</w:t>
      </w:r>
    </w:p>
    <w:p>
      <w:r>
        <w:t>61. There should be a system to assure the integrity and closure of containers after filling where the final products or intermediates represent a special risk and procedures to deal with any leaks or spillages. Filling and packaging operations need to have procedures in place to maintain the product within any specified limits, e.g. time and/or temperature.</w:t>
      </w:r>
    </w:p>
    <w:p>
      <w:r>
        <w:t>62. Activities in handling vials containing live biological agents must be performed in such a way to prevent the contamination of other products or egress of the live agents into the work environment or the external environment. The viability of such organisms and their biological classification should take into consideration as part of the management of such risks.</w:t>
      </w:r>
    </w:p>
    <w:p>
      <w:r>
        <w:t>63. Care should be taken in the preparation, printing, storage and application of labels, including any specific text for patient-specific product of the contents on the immediate and outer packaging.</w:t>
      </w:r>
    </w:p>
    <w:p>
      <w:r>
        <w:t>In the case of autologous products, the unique patient identifier and the statement “for autologous use only” should be indicated on the outer packaging or, where there is no outer packaging, on the immediate packaging.</w:t>
      </w:r>
    </w:p>
    <w:p>
      <w:pPr>
        <w:pStyle w:val="Heading2"/>
      </w:pPr>
      <w:r>
        <w:t>64. The compatibility of labels with ultra-low storage temperatures, where such temperatures are used, should be verified.</w:t>
      </w:r>
    </w:p>
    <w:p>
      <w:pPr>
        <w:pStyle w:val="Heading2"/>
      </w:pPr>
      <w:r>
        <w:t>65. Where donor (human or animal) health information becomes available after procurement, which affects product quality, it should be taken into account in recall procedures.</w:t>
      </w:r>
    </w:p>
    <w:p>
      <w:pPr>
        <w:pStyle w:val="Heading2"/>
      </w:pPr>
      <w:r>
        <w:t>Quality control</w:t>
      </w:r>
    </w:p>
    <w:p>
      <w:r>
        <w:t>66. In-process controls have a greater importance in ensuring the consistency of the quality of biological active substance and medicinal products than for conventional products. In-process control testing should be performed at appropriate stages of production to control those conditions that are important for the quality of the finished product.</w:t>
      </w:r>
    </w:p>
    <w:p>
      <w:r>
        <w:t>67. Where intermediates can be stored for extended periods of time (days, weeks or longer), consideration should be given to the inclusion of finished product batches made from materials held for their maximum in-process periods in the on-going stability programme.</w:t>
      </w:r>
    </w:p>
    <w:p>
      <w:r>
        <w:t>68. Certain types of cells (e.g. autologous cells) may be available in limited quantities and, where allowed in the MA, a modified testing and sample retention strategy may be developed and documented.</w:t>
      </w:r>
    </w:p>
    <w:p>
      <w:r>
        <w:t>69. For cellular products, sterility tests should be conducted on antibiotic-free cultures of cells or cell banks to provide evidence for absence of bacterial and fungal contamination and to be able to detection fastidious organisms where appropriate.</w:t>
      </w:r>
    </w:p>
    <w:p>
      <w:r>
        <w:t>70. For biological medicinal products with a short shelf life, which for the purposes of the annex is taken to mean a period of 14 days or less, and which need batch certification before completion of all end product quality control tests (e.g. sterility tests) a suitable control strategy must be in place. Such controls need to be built on enhanced understanding of product and process performance and take into account the controls and attributes of starting and raw materials. The exact and detailed description of the entire release procedure, including the responsibilities of the different personnel involved in assessment of production and analytical data is essential. A continuous assessment of the effectiveness of the quality assurance system must be in place including records kept in a manner which permit trend evaluation.</w:t>
      </w:r>
    </w:p>
    <w:p>
      <w:r>
        <w:t>Where end product tests are not available due to their short shelf life, alternative methods of obtaining equivalent data to permit initial batch certification should be considered (e.g. rapid microbiological methods). The procedure for batch certification and release may be carried out in two or more stages - :</w:t>
      </w:r>
    </w:p>
    <w:p>
      <w:r>
        <w:t>a) Assessment by designated person(s) of batch processing records, results from environmental monitoring (where available) which should cover production conditions, all deviations from normal procedures and the available analytical results for review in preparation for the initial certification by the Qualified Person.</w:t>
      </w:r>
    </w:p>
    <w:p>
      <w:r>
        <w:t>b) Assessment of the final analytical tests and other information available for final certification by the Qualified Person. A procedure should be in place to describe the measures to be taken (including liaison with clinical staff) where out of specification test results are obtained. Such events should be fully investigated and the relevant corrective and preventive actions taken to prevent recurrence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2 Biologische Wirkstoffe und Arzneimittel (EN) (2 von 3) PART A. GENERAL GUIDANCE</dc:title>
  <dc:subject>https://health.ec.europa.eu/document/download/380fdf24-8a1e-4f65-809b-e08d990d5f9e_en?filename=2018_annex2_en.pdf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