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(3 von 6) Kap 7-8 Ausgangs- und Rohstoffe, Saatgut und Zellbanksystem</w:t>
      </w:r>
    </w:p>
    <w:p>
      <w:r>
        <w:t>Quelle: EU-GMP-Leitfaden, Teil IV (Bekanntmachung des BMG), https://www.bundesgesundheitsministerium.de/service/gesetze-und-verordnungen/bekanntmachungen</w:t>
      </w:r>
    </w:p>
    <w:p>
      <w:pPr>
        <w:pStyle w:val="Heading1"/>
      </w:pPr>
      <w:r>
        <w:t>7 Ausgangs- und Rohstoffe</w:t>
      </w:r>
    </w:p>
    <w:p>
      <w:pPr>
        <w:pStyle w:val="Heading2"/>
      </w:pPr>
      <w:r>
        <w:t>7.1 Allgemeine Grundsätze</w:t>
      </w:r>
    </w:p>
    <w:p>
      <w:r>
        <w:t>7.10 Die Qualität der Ausgangs- und Rohstoffe ist ein Schlüsselfaktor, der bei der Herstellung von ATMPs berücksichtigt werden muss. Besondere Aufmerksamkeit sollte auf die Vermeidung von Kontamination und die weitgehende Minimierung der Variabilität der Ausgangs- und Rohstoffe gerichtet werden. Produktspezifikationen (wie jene in Arzneibuchmonographien, der Arzneimittelzulassung/Genehmigung der klinischen Prüfung) geben vor, ob und bis zu welchem Grad Substanzen und Materialien eine festgelegte Keimbelastung aufweisen dürfen oder steril sein müssen. Vor dem Einbringen in den Herstellungsprozess sollte die Einhaltung der relevanten Anforderungen überprüft werden.</w:t>
      </w:r>
    </w:p>
    <w:p>
      <w:r>
        <w:t>7.11 Die Verwendung antimikrobieller Stoffe kann zur Reduzierung der Keimbelastung, die mit der Gewinnung lebender Gewebe und Zellen verbunden ist, erforderlich sein. Es wird jedoch betont, dass die Verwendung antimikrobieller Stoffe keinen Ersatz für das Erfordernis einer aseptischen Herstellung darstellt. Werden antimikrobielle Stoffe verwendet, sollten diese so schnell wie möglich entfernt werden, es sei denn, ihr Vorhandensein im Fertigprodukt ist durch die Arzneimittelzulassung/Genehmigung der klinischen Prüfung ausdrücklich vorgesehen (z. B. Antibiotika, die Teil der Matrix des Fertigprodukts sind). Darüber hinaus ist es wichtig, sicherzustellen, dass Antibiotika oder antimikrobielle Stoffe die Sterilitätsprüfung nicht beeinträchtigen und im Fertigprodukt nicht vorhanden sind (es sei denn, dies ist durch die Arzneimittelzulassung/Genehmigung der klinischen Prüfung ausdrücklich vorgesehen).13</w:t>
      </w:r>
    </w:p>
    <w:p>
      <w:pPr>
        <w:pStyle w:val="Heading2"/>
      </w:pPr>
      <w:r>
        <w:t>7.2 Rohstoffe</w:t>
      </w:r>
    </w:p>
    <w:p>
      <w:r>
        <w:t>7.12 Rohstoffe sollten mit Blick auf den vorgesehenen Zweck von geeigneter Qualität sein. Insbesondere sollten die wachstumsfördernden Eigenschaften der Kulturmedien erwiesenermaßen für den Verwendungszweck geeignet sein.</w:t>
      </w:r>
    </w:p>
    <w:p>
      <w:r>
        <w:t>7.13 Soweit möglich sollte für bei der Herstellung von ATMPs verwendete Rohstoffe das allgemeine Kapitel Abschnitt 5.2.12 des Europäischen Arzneibuchs „Ausgangsstoffe biologischen Ursprungs zur Herstellung von zellbasierten und von gentherapeutischen Arzneimitteln“ (Raw materials of biological origin for the production of cell-based and gene therapy medicinal products) beachtet werden. Obgleich Rohstoffe von pharmazeutischer Qualität sein sollten, wird anerkannt, dass in einigen Fällen nur Materialien in einer für die Forschung geeigneten Qualität („research grade“) verfügbar sind. Das Risiko der Verwendung von Stoffen der Qualität „research grade“ sollte verstanden werden (einschließlich der Gefahr für die Kontinuität der Versorgung, wenn größere Produktmengen hergestellt werden). Darüber hinaus sollte die Eignung solcher Rohstoffe für den vorgesehenen Zweck sichergestellt werden, einschließlich, sofern zutreffend, mittels Prüfung (z. B. Funktionsprüfung, Unbedenklichkeitsprüfung).</w:t>
      </w:r>
    </w:p>
    <w:p>
      <w:r>
        <w:t>7.14 Die Spezifikationen für Rohstoffe sollten gemäß der Erläuterung in Abschnitt 6.2 festgelegt werden. Im Fall kritischer Rohstoffe sollten die Spezifikationen sowohl Qualitätsanforderungen einschließen, um die Eignung für den vorgesehenen Zweck sicherzustellen, wie auch Akzeptanzkriterien. Für zugelassene ATMPs sollten diese Qualitätsanforderungen mit dem/den Lieferanten vereinbart werden („vereinbarte Spezifikationen“). Für ATMP-Prüfpräparate sollten die technischen Spezifikationen für die kritischen Rohstoffe, soweit möglich, mit den Lieferanten vereinbart werden. Die Beurteilung, ob ein bestimmter Rohstoff kritisch ist, sollte durch den Hersteller (oder, soweit zutreffend, durch den Sponsor oder den Zulassungsinhaber) mit Blick auf die spezifischen Risiken vorgenommen werden. Die getroffenen Entscheidungen sollten dokumentiert werden. Die genehmigten Spezifikationen sollten Aspekte der Herstellung, Prüfung und Kontrolle sowie, soweit zutreffend, andere Aspekte des Umgangs und des Vertriebs umfassen. Die festgelegten Spezifikationen sollten mit den Bestimmungen der Arzneimittelzulassung oder der Genehmigung der klinischen Prüfung übereinstimmen.</w:t>
      </w:r>
    </w:p>
    <w:p>
      <w:r>
        <w:t>7.15 Der Hersteller des ATMP sollte die Übereinstimmung der Materialien des Lieferanten mit den vereinbarten Spezifikationen prüfen. Der Grad der Überwachung und weiteren Prüfung durch den Hersteller des ATMP sollte im Verhältnis zu den Risiken der einzelnen Materialien stehen. Es ist zulässig, sich auf das Analysezertifikat des Lieferanten zu verlassen, wenn alle Risiken hinreichend verstanden und Maßnahmen getroffen wurden, um die Risiken zu eliminieren oder sie auf ein akzeptables Niveau zu reduzieren (z. B. Qualifizierung der Lieferanten). Für Rohstoffe, die in der EU als Arzneimittel zugelassen sind (z. B. Zytokine, humanes Serumalbumin, rekombinante Proteine), ist das Analysezertifikat des Lieferanten nicht erforderlich. Soweit verfügbar wird die Verwendung zugelassener Arzneimittel empfohlen.</w:t>
      </w:r>
    </w:p>
    <w:p>
      <w:r>
        <w:t>7.16 Das Risiko einer Kontamination von Rohstoffen biologischen Ursprungs im Verlauf der Lieferkette muss mit besonderem Augenmerk auf die Virussicherheit und die mikrobiologische Sicherheit sowie Transmissible Spongiforme Enzephalopathie („TSE“) beurteilt werden. Die Einhaltung der neuesten Version der Note for Guidance on Minimising the Risk of Transmitting Animal Spongiform Encephalopathy (TSE) Agents via Human and Veterinary Medicinal Products ist erforderlich.14 Wenn in Verbindung mit einem Rohstoff ein potenzielles Risiko für eine Kontamination mit Mycoplasmen besteht, sollte der Hersteller des ATMP das Material vor der Verwendung filtern (0,1 μm Filter), es sei denn, der Lieferant des Rohstoffs hat bestätigt, dass der Rohstoff geprüft wurde und frei von Mycoplasmen ist.</w:t>
      </w:r>
    </w:p>
    <w:p>
      <w:r>
        <w:t>7.17 Außerdem sollte das Risiko einer Kontamination durch andere Materialien, die direkt mit der Herstellungsausrüstung oder dem Produkt in Berührung kommen (wie z. B. für Prozesssimulationen verwendete Medien und Schmierstoffe, die mit dem Produkt in Berührung kommen können), berücksichtigt werden.</w:t>
      </w:r>
    </w:p>
    <w:p>
      <w:r>
        <w:t>Fußnote 13 In Abschnitt 2.6.1 des Europäischen Arzneibuchs (Sterilitätsprüfung) ist die Verwendung neutralisierender Substanzen für Produkte, die Antibiotika enthalten, beschrieben.</w:t>
      </w:r>
    </w:p>
    <w:p>
      <w:r>
        <w:t>Fußnote 14 Note for Guidance on Minimising the Risk of Transmitting Animal Spongiform Encephalopathy (TSE) Agents via Human and Veterinary Medicinal Products (EMA/410/01 Rev. 3) http://www.ema.europa.eu/docs/en_GB/document_library/Scientific_guideline/2009/09/WC500003700.pdf (in der jeweils aktuellen Fassung).</w:t>
      </w:r>
    </w:p>
    <w:p>
      <w:r>
        <w:t>7.18 Im Lagerbereich befindliche Rohstoffe sollten in geeigneter Weise gekennzeichnet sein. Die Kennzeichnung der kritischen Rohstoffe sollte mindestens folgende Informationen enthalten:</w:t>
      </w:r>
    </w:p>
    <w:p>
      <w:r>
        <w:t>(i) den vorgesehenen Namen des Produkts und den internen Referenzcode (soweit zutreffend);</w:t>
      </w:r>
    </w:p>
    <w:p>
      <w:r>
        <w:t>(ii) die beim Wareneingang zugewiesene Chargenbezeichnung;</w:t>
      </w:r>
    </w:p>
    <w:p>
      <w:r>
        <w:t>(iii) die Lagerungsbedingungen;</w:t>
      </w:r>
    </w:p>
    <w:p>
      <w:r>
        <w:t>(iv) den Status des Inhalts (z. B. in Quarantäne, in der Prüfung, freigegeben, zurückgewiesen);</w:t>
      </w:r>
    </w:p>
    <w:p>
      <w:r>
        <w:t>(v) ein Verfalldatum oder ein Datum, nach dem eine Nachtestung erforderlich ist.</w:t>
      </w:r>
    </w:p>
    <w:p>
      <w:r>
        <w:t>7.19 Bei vollständig computergesteuerten Lagersystemen müssen die obigen Informationen nicht unbedingt in lesbarer Form auf dem Etikett enthalten sein. Die Verwendung automatisierter Systeme (z. B. die Verwendung von Barcodes) ist zulässig.</w:t>
      </w:r>
    </w:p>
    <w:p>
      <w:r>
        <w:t>7.20 Es sollten nur Rohstoffe verwendet werden, die vom Leiter der Qualitätskontrolle freigegeben wurden.</w:t>
      </w:r>
    </w:p>
    <w:p>
      <w:r>
        <w:t>7.21 Der Hersteller des ATMP sollte geeignete Maßnahmen treffen, die die Rückverfolgung kritischer Rohstoffe erlauben, um erforderlichenfalls einen Rückruf der Produkte zu ermöglichen.</w:t>
      </w:r>
    </w:p>
    <w:p>
      <w:pPr>
        <w:pStyle w:val="Heading2"/>
      </w:pPr>
      <w:r>
        <w:t>7.3 Ausgangsstoffe</w:t>
      </w:r>
    </w:p>
    <w:p>
      <w:r>
        <w:t>7.22 Die Spende, Beschaffung und Testung von als Ausgangsstoffe verwendeten menschlichen Geweben und Zellen sollten der Richtlinie 2004/23/EG entsprechen. Für aus Blut gewonnene Zellen ist die Einhaltung der Richtlinie 2002/98/EG hinsichtlich Spende, Beschaffung und Testung ebenso zulässig. Außerdem sollten die Akkreditierung, Benennung oder Zulassung des Lieferanten der Ausgangsstoffe bzw. die Erteilung der entsprechenden Erlaubnis an diesen gemäß der obigen Rechtsvorschriften verifiziert werden.</w:t>
      </w:r>
    </w:p>
    <w:p>
      <w:r>
        <w:t>7.23 Wenn die verwendeten Zellen/Gewebe nicht in den Anwendungsbereich der Richtlinie 2004/23/EG oder – sofern zutreffend – der Richtlinie 2002/98/EG fallen (z. B. außerhalb der EU erstellte Zelllinien/Zellbänke oder vor dem Inkrafttreten dieser Richtlinien hergestellte Zellen), sollte der Hersteller des ATMP (oder, sofern zutreffend, der Sponsor oder Zulassungsinhaber) in Übereinstimmung mit den Bestimmungen der Arzneimittelzulassung/Genehmigung der klinischen Prüfung geeignete Maßnahmen treffen, um ihre Qualität, Sicherheit und Rückverfolgbarkeit sicherzustellen.</w:t>
      </w:r>
    </w:p>
    <w:p>
      <w:r>
        <w:t>7.24 Der Hersteller des ATMP (oder, sofern zutreffend, der Sponsor oder Zulassungsinhaber) sollte Qualitätsanforderungen für die Ausgangsstoffe (Spezifikationen) aufstellen, die mit dem/den Lieferanten vereinbart werden sollten. Diese vereinbarten Spezifikationen sollten Aspekte der Herstellung, Prüfung, Kontrolle und Lagerung sowie, soweit zutreffend, andere Aspekte des Umgangs und des Vertriebs umfassen. Abhängig von den Eigenschaften des Produkts können zusätzlich zu den in Richtlinie 2004/23/EG (oder – sofern zutreffend – Richtlinie 2002/98/EG) vorgesehenen Prüfungen weitere Prüfungen erforderlich sein. Die vereinbarten Spezifikationen sollten mit den Bestimmungen der Arzneimittelzulassung oder der Genehmigung der klinischen Prüfung übereinstimmen.</w:t>
      </w:r>
    </w:p>
    <w:p>
      <w:r>
        <w:t>7.25 Der Hersteller des ATMP sollte die Übereinstimmung der Materialien des Lieferanten mit den vereinbarten Spezifikationen prüfen. Der Grad der Überwachung und weiteren Prüfung durch den Hersteller des ATMP sollte im Verhältnis zu den Risiken der einzelnen Materialien stehen.</w:t>
      </w:r>
    </w:p>
    <w:p>
      <w:r>
        <w:t>7.26 Für gemäß Richtlinie 2002/98/EG oder Richtlinie 2004/23/EG zugelassene und überwachte Blutspende- und Gewebeeinrichtungen sind keine zusätzlichen Audits durch den Hersteller des ATMP hinsichtlich Einhaltung der in den nationalen Rechtsvorschriften des Mitgliedstaats, in dem sich die Blutspende-/Gewebeeinrichtung befindet, vorgesehenen Anforderungen zu Spende, Beschaffung und Testung erforderlich. Es wird jedoch empfohlen, dass die Vereinbarung zwischen dem Hersteller des ATMP und der Blutspende-/Gewebeeinrichtung die Möglichkeit eines Audits der Blutspende-/Gewebeeinrichtung durch den Hersteller des ATMP vorsieht. Darüber hinaus sollte, falls die vereinbarten Spezifikationen Anforderungen vorsehen, in denen impliziert wird, dass die Blutspende-/Gewebeeinrichtung zusätzlich zu den durch die zuständige Behörde gemäß Richtlinie 2002/98/EG oder Richtlinie 2004/23/EG zugelassenen und überwachten Aktivitäten weitere Aktivitäten ausführen sollte (z. B. zusätzliche Prüfungen), eine angemessene Überwachung bezüglich der zusätzlichen Anforderungen erfolgen.</w:t>
      </w:r>
    </w:p>
    <w:p>
      <w:r>
        <w:t>7.27 Zusätzlich zu den Spezifikationen für die Ausgangsstoffe sollte die Vereinbarung zwischen dem Hersteller des ATMP (oder, sofern zutreffend, dem Sponsor oder Zulassungsinhaber) und dem Lieferanten (einschließlich Blutspende- und Gewebeeinrichtungen) eindeutige Bestimmungen hinsichtlich der Weitergabe von Informationen über die Ausgangsstoffe enthalten, insbesondere hinsichtlich Ergebnissen von durch den Lieferanten durchgeführten Prüfungen, Daten zur Rückverfolgbarkeit und Übermittlung von Informationen über die Gesundheit des Spenders, die gegebenenfalls nach der Lieferung des Ausgangsstoffs verfügbar werden und Auswirkungen auf die Qualität oder Sicherheit der daraus hergestellten ATMPs haben können.</w:t>
      </w:r>
    </w:p>
    <w:p>
      <w:r>
        <w:t>7.28 Das Risiko einer Kontamination der Ausgangsstoffe im Verlauf der Lieferkette muss mit besonderem Augenmerk auf die Virussicherheit und die mikrobiologische Sicherheit sowie Transmissible Spongiforme Enzephalopathie („TSE“) beurteilt werden. Die Einhaltung der neuesten Version der Note for Guidance on Minimising the Risk of Transmitting Animal Spongiform Encephalopathy (TSE) Agents via Human and Veterinary Medicinal Products ist erforderlich.</w:t>
      </w:r>
    </w:p>
    <w:p>
      <w:r>
        <w:t>7.29 Es sollten nur Ausgangsstoffe verwendet werden, die vom Leiter der Qualitätskontrolle freigegeben wurden.</w:t>
      </w:r>
    </w:p>
    <w:p>
      <w:r>
        <w:t>7.30 Wenn die für die Freigabe der Ausgangsstoffe erforderliche(n) Prüfung(en) sehr zeitaufwändig ist/sind (z. B. Sterilitätsprüfung), kann es zulässig sein, mit der Verarbeitung der Ausgangsstoffe zu beginnen, bevor das Prüfergebnis/die Prüfergebnisse vorliegen. Das Risiko, ein potenziell fehlerhaftes Material zu verwenden, sowie die mögliche Auswirkung auf andere Chargen müssen eindeutig bewertet und verstanden werden. In solchen Fällen sollte das Fertigprodukt nur dann freigegeben werden, wenn die Testergebnisse zufriedenstellend sind, es sei denn, es sind geeignete Maßnahmen zur Risikominimierung implementiert (siehe auch Abschnitt 11.3.2).</w:t>
      </w:r>
    </w:p>
    <w:p>
      <w:r>
        <w:t>7.31 Im Lagerbereich befindliche Ausgangsstoffe sollten in geeigneter Weise gekennzeichnet sein. Die Kennzeichnung sollte mindestens folgende Informationen enthalten:</w:t>
      </w:r>
    </w:p>
    <w:p>
      <w:r>
        <w:t>(i) den vorgesehenen Namen des Produkts und den internen Referenzcode (soweit zutreffend);</w:t>
      </w:r>
    </w:p>
    <w:p>
      <w:r>
        <w:t>(ii) die beim Wareneingang zugewiesene Chargenbezeichnung;</w:t>
      </w:r>
    </w:p>
    <w:p>
      <w:r>
        <w:t>(iii) die Lagerungsbedingungen;</w:t>
      </w:r>
    </w:p>
    <w:p>
      <w:r>
        <w:t>(iv) den Status des Inhalts (z. B. in Quarantäne, in der Prüfung, freigegeben, zurückgewiesen);</w:t>
      </w:r>
    </w:p>
    <w:p>
      <w:r>
        <w:t>(v) ein Verfalldatum oder ein Datum, nach dem eine Nachprüfung erforderlich ist.</w:t>
      </w:r>
    </w:p>
    <w:p>
      <w:r>
        <w:t>7.32 Bei vollständig computergesteuerten Lagersystemen müssen die obigen Informationen nicht unbedingt in lesbarer Form auf dem Etikett enthalten sein. Die Verwendung automatisierter Systeme (z. B. die Verwendung von Barcodes) ist zulässig. Verarbeitung von Ausgangsstoffen</w:t>
      </w:r>
    </w:p>
    <w:p>
      <w:r>
        <w:t>7.33 Die Qualität von ATMPs hängt von der Qualität der Ausgangsstoffe ab. Zellen und Gewebe menschlicher Herkunft müssen die Anforderungen hinsichtlich Spende, Beschaffung und Testung gemäß Richtlinie 2004/23/EG oder</w:t>
      </w:r>
    </w:p>
    <w:p>
      <w:r>
        <w:t>– sofern zutreffend – Richtlinie 2002/98/EG erfüllen. Ihre weitere Verarbeitung/Herstellung sollte in einer GMP-Umgebung stattfinden.</w:t>
      </w:r>
    </w:p>
    <w:p>
      <w:r>
        <w:t>7.34 Wenn jedoch Schritte wie z. B. Waschen oder Konservieren erforderlich sind, um die Zellen/Gewebe verfügbar zu machen, kann dies auch in der Gewebeeinrichtung/Blutspendeeinrichtung gemäß den Anforderungen von Richtlinie 2004/23/EG oder – sofern zutreffend – Richtlinie 2002/98/EG erfolgen.</w:t>
      </w:r>
    </w:p>
    <w:p>
      <w:r>
        <w:t>7.35 In Ausnahmefällen kann es zulässig sein, die Herstellung eines ATMP aus bereits verfügbaren Zellen oder Geweben zu beginnen, bei denen einige erste Verarbeitungs-/Herstellungsschritte außerhalb der GMP-Umgebung ausgeführt wurden, vorausgesetzt, es ist unmöglich, dieses Material durch GMP-konformes Material zu ersetzen. Die Verwendung von Zellen, die außerhalb einer GMP-Umgebung separiert/isoliert und konserviert wurden, für die Herstellung eines ATMP sollte nur in Ausnahmefällen erfolgen und ist nur möglich, wenn eine Risikoanalyse durchgeführt wird, um die Prüfanforderungen zu identifizieren, die zur Sicherstellung der Qualität der Ausgangsstoffe erforderlich sind. Die Gesamtverantwortung für die Qualität – wie auch für deren Auswirkungen auf das Sicherheits- und Wirksamkeitsprofil des Produkts – liegt beim Hersteller des ATMP (bzw., sofern zutreffend, beim Sponsor oder Zulassungsinhaber), auch wenn die Aktivitäten ausgelagert wurden. Die Freigabe solcher Zellen/Gewebe für die Verwendung im Herstellungsprozess sollte nach Überprüfung ihrer Qualität und Sicherheit durch den Leiter der Qualitätskontrolle erfolgen. Darüber hinaus sollten die zuständigen Behörden im Rahmen der Bewertung des Antrags auf Arzneimittelzulassung/Genehmigung der klinischen Prüfung der Kontrollstrategie zustimmen.</w:t>
      </w:r>
    </w:p>
    <w:p>
      <w:r>
        <w:t>7.36 Im Falle von Vektoren und nackten Plasmiden als Ausgangsstoffe für die Herstellung von gentherapeutischen Arzneimitteln gelten die GMP-Grundsätze ab dem Bankensystem, das für die Herstellung des für den Gentransfer verwendeten Vektors oder Plasmids genutzt wird. Zusätzliche Erwägungen hinsichtlich xenogener Zellen und Gewebe:</w:t>
      </w:r>
    </w:p>
    <w:p>
      <w:r>
        <w:t>7.37 Die Verwendung xenogener Zellen/Gewebe bei der Herstellung von ATMPs birgt zusätzliche Risiken der Übertragung bekannter und unbekannter Pathogene auf Menschen, einschließlich des potenziellen Risikos einer Einschleppung neuer Infektionskrankheiten. Die Auswahl der Spendertiere muss daher streng kontrolliert werden. Ursprungs-/Spendertiere sollten gesund und spezifiziert pathogenfrei (SPF) sein und unter SPF-Bedingungen einschließlich Gesundheitsüberwachung gehalten werden. Das Spender-/Ursprungstier sollte in Gefangenschaft in speziell für diesen Zweck ausgelegten Einrichtungen (Barrierebedingungen) aufgezogen worden sein. Bei der Herstellung von ATMPs ist es nicht zulässig, xenogene Zellen und Gewebe von Wildtieren oder Schlachthöfen zu verwenden. Auch Zellen und Gewebe von Gründertieren sollten nicht verwendet werden.</w:t>
      </w:r>
    </w:p>
    <w:p>
      <w:r>
        <w:t>7.38 Es sollten geeignete Maßnahmen implementiert werden, um Vorfälle zu ermitteln und zu vermeiden, die die Gesundheit der Ursprungs-/Spendertiere beeinträchtigen oder sich negativ auf die Barrierebedingungen der Einrichtung oder den SPF-Status der Ursprungs-/Spendertiere auswirken können. Neben der Einhaltung der Bestimmungen zu TSE sollten andere Fremd-Agenzien von Belang (Zoonosen, Krankheiten der Ursprungstiere) überwacht und protokolliert werden. Bei der Erstellung des Überwachungsprogramms sollten Fachleute hinzugezogen werden.</w:t>
      </w:r>
    </w:p>
    <w:p>
      <w:r>
        <w:t>7.39 Krankheitsfälle in der Herde sollten untersucht werden im Hinblick auf die Eignung in Kontakt stehender Tiere für die weitere Verwendung (in der Herstellung, als Quelle für Ausgangs- und Rohstoffe, in der Qualitätskontrolle und bei Sicherheitsprüfungen). Die getroffenen Entscheidungen müssen protokolliert werden. Ein Look-back-Verfahren sollte vorhanden sein, das den Entscheidungsprozess informiert über die fortbestehende Eignung des biologischen Wirkstoffs oder Arzneimittels, in welchem die Zellen/Gewebe tierischen Ursprungs verwendet oder integriert wurden. Dieser Entscheidungsprozess kann die wiederholte Prüfung von Rückstellungsproben desselben Spendertiers aus vorhergehender Gewinnung (falls zutreffend) umfassen, um die letzte negative Spende zu bestimmen.</w:t>
      </w:r>
    </w:p>
    <w:p>
      <w:r>
        <w:t>7.40 Wartezeiten für Therapeutika, die in der Behandlung der Ursprungs-/Spendertiere eingesetzt werden, müssen dokumentiert und verwendet werden, um entsprechende Tiere für einen festgelegten Zeitraum aus dem Programm zu nehmen.</w:t>
      </w:r>
    </w:p>
    <w:p>
      <w:pPr>
        <w:pStyle w:val="Heading1"/>
      </w:pPr>
      <w:r>
        <w:t>8 Saatgut und Zellbanksystem</w:t>
      </w:r>
    </w:p>
    <w:p>
      <w:r>
        <w:t>8.10 Es wird empfohlen, das System des Master- und Arbeitssaatguts/der Master- und Arbeitszellbänke für allogene Produkte zu verwenden, die keine Übereinstimmung zwischen Spender und Patient erfordern. Die Etablierung von Saatgut und Zellbänken ist jedoch nicht zwingend erforderlich.</w:t>
      </w:r>
    </w:p>
    <w:p>
      <w:r>
        <w:t>8.11 Werden Saatgut und Zellbänke, einschließlich der Ebene des Master- und Arbeitssaatguts, verwendet, sollten sie unter geeigneten Umständen etabliert werden, einschließlich der Einhaltung der GMP-Grundsätze gemäß dieser Leitlinien. Dazu zählt eine angemessen kontrollierte Umgebung zum Schutz der Saatgut und der Zellbank sowie des damit umgehenden Personals. Während der Etablierung der Saatgut und der Zellbank sollte es keinen gleichzeitigen Umgang mit anderem lebenden oder infektiösen Material (z. B. Viren, Zelllinien oder Zellstämme) im selben Bereich geben.</w:t>
      </w:r>
    </w:p>
    <w:p>
      <w:r>
        <w:t>8.12 Die Anzahl der Generationen (Populationsdopplungen, Passagen) sollte mit den Spezifikationen in der Arzneimittelzulassung/Genehmigung der klinischen Prüfung übereinstimmen.</w:t>
      </w:r>
    </w:p>
    <w:p>
      <w:r>
        <w:t>8.13 Für Schritte vor dem Anlegen des Master-Saatguts oder der Zellbank sollte eine entsprechende Dokumentation vorliegen, um die Rückverfolgbarkeit zu gewährleisten. Dies schließt Fragen zu Komponenten ein, die während der Entwicklung verwendet werden und die Produktsicherheit möglicherweise beeinflussen (z. B. Reagenzien biologischen Ursprungs), falls zutreffend, ab der initialen Gewinnung und der genetischen Entwicklung.</w:t>
      </w:r>
    </w:p>
    <w:p>
      <w:r>
        <w:t>8.14 Es wird jedoch anerkannt, dass für in der Vergangenheit (d. h. vor Inkrafttreten der Verordnung 1394/2007) etablierte Saatgut und Zellbänke gegebenenfalls keine umfassenden Informationen verfügbar sind. Die Verwendung von Ausgangsstoffen, die von solchen Saatgut/Zellbänken stammen, ist nur in Ausnahmefällen und unter der Voraussetzung zulässig, dass die fehlenden Informationen durch ausführliche Charakterisierung kompensiert werden. Darüber hinaus sollten die zuständigen Behörden im Rahmen der Bewertung des Antrags auf Arzneimittelzulassung/Genehmigung der klinischen Prüfung dem Vorgehen zustimmen.</w:t>
      </w:r>
    </w:p>
    <w:p>
      <w:r>
        <w:t>8.15 Die Sicherheitsprüfung und Charakterisierung von Zellbänken sind wichtig für die Chargenkonformität und zur Vermeidung einer Kontamination durch Fremd-Agenzien. Saatgut und Zellbänke sollten so aufbewahrt und verwendet werden, dass die Risiken einer Kontamination oder Beeinträchtigung minimiert werden (z. B. Lagerung in der Gasphase flüssigen Stickstoffs in versiegelten Behältern). Kontrollmaßnahmen für die Aufbewahrung verschiedener Saaten/Zellen im selben Bereich oder derselben Ausrüstung sollten gewährleisten, dass es nicht zu Verwechslungen kommt, und sollten die infektiöse Natur des Materials berücksichtigen, um eine Kreuzkontamination zu vermeiden.</w:t>
      </w:r>
    </w:p>
    <w:p>
      <w:r>
        <w:t>8.16 Lagerbehälter sollten versiegelt, eindeutig gekennzeichnet und bei einer geeigneten Temperatur aufbewahrt werden. Lagerbestände sind zu erfassen. Die Lagertemperatur sollte kontinuierlich überwacht und die Protokolle aufbewahrt werden. Abhängig von der Kritikalität sollten Alarmsysteme in Betracht gezogen werden. Falls flüssiger Stickstoff verwendet wird, sollte der Stickstofffüllstand ebenfalls überwacht werden. Abweichungen von festgelegten Grenzwerten sowie Korrektur- und Präventivmaßnahmen sollten protokolliert werden.</w:t>
      </w:r>
    </w:p>
    <w:p>
      <w:r>
        <w:t>8.17 Nach der Etablierung der Zellbänke sowie des Master- und Virussaatguts sollten Quarantäne- und Freigabeverfahren durchgeführt werden. Ein Nachweis der Stabilität und der Rückgewinnung von Saaten und Banken sollte dokumentiert werden, und Protokolle sollten so aufbewahrt werden, dass eine Trendauswertung möglich ist. Im Falle von ATMP-Prüfpräparaten ist ein schrittweises Vorgehen zulässig. Daher sollten vorläufige Stabilitätsdaten (z. B. aus früheren Entwicklungsphasen oder geeigneten Zellmodellen) vor Verwendung des Produkts in einer klinischen Prüfung zur Verfügung stehen, und die Stabilitätsdaten sollten im Laufe der klinischen Prüfung durch reale Daten ausgebaut werden.</w:t>
      </w:r>
    </w:p>
    <w:p>
      <w:r>
        <w:t>8.18 Aus dem Kryolager entnommene Behälter dürfen nur dann zurückgestellt werden, wenn dokumentiert werden kann, dass geeignete Bedingungen aufrechterhalten wurden.</w:t>
      </w:r>
    </w:p>
    <w:p>
      <w:r>
        <w:t>8.19 Der Zugriff auf Zellbänke sollte auf befugtes Personal begrenzt werden. Zellvorrat</w:t>
      </w:r>
    </w:p>
    <w:p>
      <w:r>
        <w:t>8.20 Zellbasierte Produkte werden häufig aus einem Zellvorrat erzeugt, der aus einer begrenzten Anzahl von Passagen gewonnen wurde. Im Gegensatz zum zweistufigen System der Master- und Arbeitszellbank ist die Anzahl der Produktionsläufe von einem Zellvorrat durch die Anzahl der nach Expansion erhaltenen Aliquots begrenzt und deckt nicht den gesamten Lebenszyklus des Produkts ab. Veränderungen des Zellvorrats (einschließlich der Einführung von Zellen von neuen Spendern) sollten in der Arzneimittelzulassung/Genehmigung der klinischen Prüfung adressiert und deren Bestimmungen eingehalten werden.</w:t>
      </w:r>
    </w:p>
    <w:p>
      <w:r>
        <w:t>8.21 Es empfiehlt sich, Bestände aufzuteilen und die aufgeteilten Bestände an unterschiedlichen Orten aufzubewahren, um das Risiko eines vollständigen Verlusts zu minimieren. Die Kontrollen an diesen Orten sollten die in den vorangehenden Abschnitten genannten Sicherungen vorsehen.</w:t>
      </w:r>
    </w:p>
    <w:p>
      <w:r>
        <w:t>8.22 Werden Zellvorräte verwendet, sollten die Handhabung, Lagerung und Freigabe der Zellen in Übereinstimmung mit den oben für Zellbänke aufgeführten Grundsätzen erfolgen. Außerhalb von GMP-Bedingungen und vor Inkrafttreten der Verordnung 1394/2007 erstellte Zellvorräte/Zellbänke und virales Saatgut</w:t>
      </w:r>
    </w:p>
    <w:p>
      <w:r>
        <w:t>8.23 Die Erstellung neuer Zellvorräte/Zellbänke und viralem Saatgut sollte in Übereinstimmung mit der Guten Herstellungspraxis erfolgen. In begründeten Ausnahmefällen kann es möglich sein, die Verwendung von Zellvorräten/ Zellbänken und viralem Saatgut zuzulassen, die vor Inkrafttreten der Verordnung 1394/2007 generiert wurden und nicht über vollständige GMP-Compliance verfügen. In diesen Fällen sollte eine Risikoanalyse durchgeführt werden, um die Prüfungsanforderungen zu ermitteln, die zur Sicherstellung der Qualität des Ausgangsstoffs erforderlich sind. In allen Fällen liegt die Gesamtverantwortung für die Qualität – wie auch für deren Auswirkungen auf das Sicherheits- und Wirksamkeitsprofil des Produkts – beim Hersteller des ATMP und/oder, sofern zutreffend, beim Sponsor oder Zulassungsinhaber.</w:t>
      </w:r>
    </w:p>
    <w:p>
      <w:r>
        <w:t>8.24 Die Verwendung von Ausgangsstoffen aus Zellvorräten/Zellbänken und viralem Saatgut, die außerhalb von GMP-Bedingungen und vor Inkrafttreten der Verordnung 1394/2007 generiert wurden, sollte durch die zuständigen Behörden im Rahmen der Bewertung des Antrags auf Arzneimittelzulassung/Genehmigung der klinischen Prüfung genehmigt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(3 von 6) Kap 7-8 Ausgangs- und Rohstoffe, Saatgut und Zellbanksystem</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