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Tierarzneimittel DVO (EU) 2025-2091 GMP (3 von 7) Kap VIII-XI ZERTIFIZIERUNG UND CHARGENFREIGABE</w:t>
      </w:r>
    </w:p>
    <w:p>
      <w:r>
        <w:t>Quelle: Amtsblatt der EU, CELEX 32025R2091, https://eur-lex.europa.eu/legal-content/DE/TXT/?uri=CELEX:32025R2091</w:t>
      </w:r>
    </w:p>
    <w:p>
      <w:pPr>
        <w:pStyle w:val="Heading1"/>
      </w:pPr>
      <w:r>
        <w:t>KAPITEL VIII ZERTIFIZIERUNG UND CHARGENFREIGABE</w:t>
      </w:r>
    </w:p>
    <w:p>
      <w:pPr>
        <w:pStyle w:val="Heading2"/>
      </w:pPr>
      <w:r>
        <w:t>Artikel 38 Sachkundige Person</w:t>
      </w:r>
    </w:p>
    <w:p>
      <w:r>
        <w:t>(1) Jede Herstellungsstätte, in der Tierarzneimittel in der Union hergestellt werden, muss über mindestens eine sachkundige Person verfügen.</w:t>
      </w:r>
    </w:p>
    <w:p>
      <w:r>
        <w:t>(2) Um den Anforderungen des Artikels 97 Absatz 6 der Verordnung (EU) 2019/6 zu genügen, muss sich die sachkundige Person mindestens über Folgendes vergewissern:</w:t>
      </w:r>
    </w:p>
    <w:p>
      <w:r>
        <w:t>a) die Quelle und die Spezifikationen der bei der Herstellung von Tierarzneimitteln verwendeten Materialien sowie die Verpackungsmaterialien erfüllen die Zulassungsbedingungen;</w:t>
      </w:r>
    </w:p>
    <w:p>
      <w:r>
        <w:t>b) die Wirkstoffe wurden gemäß der guten Herstellungspraxis hergestellt und gemäß der guten Vertriebspraxis vertrieben;</w:t>
      </w:r>
    </w:p>
    <w:p>
      <w:r>
        <w:t>c) sofern zutreffend sind die virale und die mikrobiologische Sicherheit sowie der TSE-Status (transmissible spongiforme Enzephalopathie) aller bei der Herstellung verwendeten Materialien konform mit den Zulassungsbedingungen;</w:t>
      </w:r>
    </w:p>
    <w:p>
      <w:r>
        <w:t>d) alle Herstellungsschritte, einschließlich Kontrollen und Prüfungen, wurden in Übereinstimmung mit der Arzneimittelzulassung und in einer gemäß dieser zugelassenen Herstellungsstätte sowie gemäß der guten Herstellungspraxis durchgeführt;</w:t>
      </w:r>
    </w:p>
    <w:p>
      <w:r>
        <w:t>e) es wurden alle erforderlichen Inprozesskontrollen und Prüfungen, einschließlich der Überwachung der Umgebung, durchgeführt und es liegen entsprechende Protokolle vor;</w:t>
      </w:r>
    </w:p>
    <w:p>
      <w:r>
        <w:t>f) die Ergebnisse der Qualitätskontrolltests des Fertigprodukts stimmen mit den relevanten Spezifikationen bzw. gegebenenfalls mit dem Programm für die Echtzeit-Freigabeprüfung überein;</w:t>
      </w:r>
    </w:p>
    <w:p>
      <w:r>
        <w:t>g) fortlaufende Stabilitätsdaten stützen weiterhin die Zertifizierung;</w:t>
      </w:r>
    </w:p>
    <w:p>
      <w:r>
        <w:t>h) die Auswirkung jeglicher Abweichung vom Herstellungsprozess oder bei der Prüfung wurde bewertet, und alle zusätzlichen Kontrollen und Prüfungen sind abgeschlossen;</w:t>
      </w:r>
    </w:p>
    <w:p>
      <w:r>
        <w:t>i) die Auswirkung jeglicher Änderung am Herstellungsprozess oder bei der Prüfung wurde bewertet, und alle zusätzlichen Kontrollen und Prüfungen sind abgeschlossen;</w:t>
      </w:r>
    </w:p>
    <w:p>
      <w:r>
        <w:t>j) Audits in den Herstellungsstätten und den an der Herstellung oder Prüfung von Wirkstoffen beteiligten Stätten stützen die Zertifizierung der Charge;</w:t>
      </w:r>
    </w:p>
    <w:p>
      <w:r>
        <w:t>k) es wurden Maßnahmen in Bezug auf die Umsetzung der ausgelagerten Herstellung oder Prüfung gemäß den Vereinbarungen über die Unterauftragsvergabe getroffen;</w:t>
      </w:r>
    </w:p>
    <w:p>
      <w:r>
        <w:t>l) alle Untersuchungen zu Aspekten, die die Qualität der zu zertifizierenden Charge betreffen, wurden in einer Weise abgeschlossen, die ausreicht, um die Zertifizierung der Charge zu stützen;</w:t>
      </w:r>
    </w:p>
    <w:p>
      <w:r>
        <w:t>m) das Selbstinspektionsprogramm wird durchgeführt.</w:t>
      </w:r>
    </w:p>
    <w:p>
      <w:r>
        <w:t>Obgleich die sachkundige Person die Verantwortung dafür trägt, sicherzustellen, dass die in Unterabsatz 1 genannten Punkte überprüft werden, kann sie diese Aufgaben an entsprechend geschulte Mitarbeiter oder Dritte delegieren.</w:t>
      </w:r>
    </w:p>
    <w:p>
      <w:r>
        <w:t>(3) Die sachkundige Person muss Zugang zu allen Dokumenten haben, die für die Schritte, für die sie die Verantwortung übernimmt, relevant sind, darunter die Informationen in der Arzneimittelzulassung, anhand derer beurteilt werden kann, ob die relevanten Anforderungen erfüllt sind, und die relevanten Daten zum gesamten Prozess zur Herstellung des Tierarzneimittels, einschließlich Importaktivitäten, falls zutreffend.</w:t>
      </w:r>
    </w:p>
    <w:p>
      <w:r>
        <w:t>(4) Wenn mehrere sachkundige Personen an der Bewertung einer Charge eines Tierarzneimittels beteiligt sind, sind ihre jeweiligen Verantwortlichkeiten, einschließlich Details zur Zuständigkeit für die Bewertung jeglicher Abweichungen, eindeutig schriftlich festzulegen.</w:t>
      </w:r>
    </w:p>
    <w:p>
      <w:r>
        <w:t>(5) Die sachkundige Person darf sich auf von Dritten durchgeführte Audits stützen, die spezifischen Herstellungsstätten bescheinigen, dass sie die gute Herstellungspraxis befolgen. In diesem Fall gelten die Anforderungen des Artikels 43. Die sachkundige Person muss Zugang zu allen Dokumenten haben, die für die Überprüfung des Auditergebnisses relevant sind.</w:t>
      </w:r>
    </w:p>
    <w:p>
      <w:r>
        <w:t>Bei der Annahme des Auditberichts muss die sachkundige Person Folgendes berücksichtigen:</w:t>
      </w:r>
    </w:p>
    <w:p>
      <w:r>
        <w:t>a) ob der Auditbericht die allgemeinen Anforderungen der guten Herstellungspraxis, wie das Qualitätsmanagementsystem und die Produktions- und Qualitätskontrollverfahren für das gelieferte Produkt, behandelt, und zwar so detailliert, dass daraus geschlossen werden kann, dass die relevanten Tätigkeiten, die Gegenstand des Audits sind, der Arzneimittelzulassung und der guten Herstellungspraxis entsprechen;</w:t>
      </w:r>
    </w:p>
    <w:p>
      <w:r>
        <w:t>b) im Fall ausgelagerter Tätigkeiten, ob die Übereinstimmung mit der Arzneimittelzulassung und der guten Herstellungspraxis verifiziert wurde.</w:t>
      </w:r>
    </w:p>
    <w:p>
      <w:pPr>
        <w:pStyle w:val="Heading2"/>
      </w:pPr>
      <w:r>
        <w:t>Artikel 39 Zertifizierung und Chargenfreigabe</w:t>
      </w:r>
    </w:p>
    <w:p>
      <w:r>
        <w:t>(1) Tierarzneimittelchargen können erst zum Verkauf oder zur Abgabe an den Markt freigegeben werden, nachdem eine sachkundige Person — anhand eines Kontrollberichts — bescheinigt hat, dass jede Tierarzneimittelcharge gemäß den Anforderungen der Arzneimittelzulassung und der guten Herstellungspraxis hergestellt und getestet wurde. Die Zertifizierung kann nur durch die für einen Hersteller tätige sachkundige Person erfolgen, die in der Arzneimittelzulassung genannt ist. Ein Muster für die Bescheinigung über die Chargenfreigabe ist in Anhang VIII enthalten.</w:t>
      </w:r>
    </w:p>
    <w:p>
      <w:r>
        <w:t>(2) Die sachkundige Person kann sich nur dann auf die Echtzeit-Freigabeprüfung oder die parametrische Freigabe stützen, wenn die Bedingungen und Anforderungen des Anhangs IX erfüllt sind.</w:t>
      </w:r>
    </w:p>
    <w:p>
      <w:r>
        <w:t>(3) Ein Nachweis über die Zertifizierung gemäß Absatz 1 muss von der sachkundigen Person in einem Register oder einem gleichwertigen, hierfür vorgesehenen Dokument protokolliert werden. Das Register oder gleichwertige Dokument muss stets aktualisiert werden und der zuständigen Behörde ein Jahr über das Verfalldatum der betroffenen Charge hinaus oder mindestens fünf Jahre lang nach der Zertifizierung der Charge durch die sachkundige Person zur Verfügung stehen, wobei der längere Zeitraum gilt.</w:t>
      </w:r>
    </w:p>
    <w:p>
      <w:r>
        <w:t>(4) Die sachkundige Person, die die Zertifizierung der Charge eines Tierarzneimittels vornimmt, kann die gesamte Verantwortung für alle Herstellungsstufen der Charge übernehmen oder sich diese Verantwortung mit anderen sachkundigen Personen teilen, die die Konformität bestimmter Schritte der Herstellung und Kontrolle einer Charge bestätigt haben.</w:t>
      </w:r>
    </w:p>
    <w:p>
      <w:r>
        <w:t>Wenn in einer Herstellungsstätte nur eine Teilherstellung stattfindet, muss die sachkundige Person in dieser Stätte zumindest bestätigen, dass die in der Herstellungsstätte durchgeführten Vorgänge der guten Herstellungspraxis und den Bestimmungen der schriftlichen Vereinbarung entsprechen, in der die Vorgänge aufgeführt sind, für die die Herstellungsstätte verantwortlich ist. Eine Teilherstellung kann nur in einer Herstellungsstätte stattfinden, die gemäß den Zulassungsbedingungen zugelassen wurde. Ein Muster für die Bestätigung über die Teilherstellung ist in Anhang VIII enthalten.</w:t>
      </w:r>
    </w:p>
    <w:p>
      <w:r>
        <w:t>(5) Stammen unterschiedliche Chargen eines Fertigprodukts aus derselben Bulkproduktcharge, kann die Zertifizierung der unterschiedlichen Fertigproduktchargen auf die Qualitätskontrollprüfung einer zuvor zertifizierten Charge gestützt werden, sofern sich dies anhand der Grundsätze des Qualitätsrisikomanagements begründen lässt. Die sachkundige Person muss mindestens folgende Punkte nachprüfen:</w:t>
      </w:r>
    </w:p>
    <w:p>
      <w:r>
        <w:t>a) Die relevanten Anforderungen für die Lagerung des Bulkprodukts vor der Verpackung wurden erfüllt.</w:t>
      </w:r>
    </w:p>
    <w:p>
      <w:r>
        <w:t>b) Die Charge des Fertigprodukts wurde unter den erforderlichen Bedingungen gelagert und gegebenenfalls transportiert.</w:t>
      </w:r>
    </w:p>
    <w:p>
      <w:r>
        <w:t>c) Die Sendung blieb geschützt, und es gibt keine Hinweise auf Manipulation während der Lagerung oder des Transports.</w:t>
      </w:r>
    </w:p>
    <w:p>
      <w:r>
        <w:t>d) Es wurde eine Identifizierung des Produkts vorgenommen.</w:t>
      </w:r>
    </w:p>
    <w:p>
      <w:r>
        <w:t>e) Die geprüften Proben sind repräsentativ für alle Fertigproduktchargen, die aus der Bulkproduktcharge stammen.</w:t>
      </w:r>
    </w:p>
    <w:p>
      <w:r>
        <w:t>(6) Zertifiziert die sachkundige Person gemäß Absatz 1 eine Charge eines Tierarzneimittels, so erteilt sie für diese Charge den Freigabestatus, indem sie eine formale und eindeutige Mitteilung an die das Produkt freigebende Herstellungsstätte übermittelt.</w:t>
      </w:r>
    </w:p>
    <w:p>
      <w:r>
        <w:t>(7) Bis zur Erteilung des Freigabestatus gemäß Absatz 6 muss die Charge in der Herstellungsstätte verbleiben oder in Quarantäne an eine andere für diesen Zweck zugelassene Herstellungsstätte gesandt werden. Es sind Sicherheitsvorkehrungen zu treffen, die gewährleisten, dass nicht zertifizierte Chargen nicht freigegeben werden. Hierbei kann es sich um physische Vorkehrungen (durch Abtrennung und Kennzeichnung) oder um elektronische Vorkehrungen (durch Einsatz validierter computergestützter Systeme) handeln. Wenn nicht zertifizierte Chargen von einer zugelassenen Herstellungsstätte zu einer anderen transportiert werden, sind die Sicherheitsvorkehrungen zur Verhinderung einer vorzeitigen Freigabe beizubehalten.</w:t>
      </w:r>
    </w:p>
    <w:p>
      <w:pPr>
        <w:pStyle w:val="Heading2"/>
      </w:pPr>
      <w:r>
        <w:t>Artikel 40 Zusätzliche Erwägungen hinsichtlich Einfuhren von Tierarzneimitteln</w:t>
      </w:r>
    </w:p>
    <w:p>
      <w:r>
        <w:t>(1) Um der Anforderung des Artikels 97 Absatz 7 der Verordnung (EU) 2019/6 zu genügen, kann die Zertifizierung durch die sachkundige Person erst nach der physischen Einfuhr stattfinden. Der Ort der physischen Einfuhr und der Standort, an dem die für die Zertifizierung/Bestätigung verantwortliche sachkundige Person tätig ist, bedürfen einer Erlaubnis gemäß Artikel 88 Absatz 1 der Verordnung (EU) 2019/6.</w:t>
      </w:r>
    </w:p>
    <w:p>
      <w:r>
        <w:t>(2) Die vom eingeführten Produkt entnommenen Proben müssen vollständig repräsentativ für die Charge sein. Die für die Testung der eingeführten Charge erforderlichen Proben sowie die Referenzproben und/oder Rückstellmuster können entweder nach dem Eintreffen in der Union oder an der Herstellungsstätte in dem Drittstaat nach einem dokumentierten Verfahren entnommen werden. Die Herstellungsstätten haben in einer schriftlichen Vereinbarung festzulegen, wer für die Probenahme verantwortlich ist. Alle Proben, die außerhalb der Union entnommen werden, sind unter den gleichen Transportbedingungen zu versenden wie die Charge, für die sie repräsentativ sind.</w:t>
      </w:r>
    </w:p>
    <w:p>
      <w:r>
        <w:t>(3) Wenn die Probenahme in einer Herstellungsstätte in einem Drittstaat durchgeführt wird, ist das dokumentierte Verfahren gemäß Absatz 2 anhand der Grundsätze des Qualitätsrisikomanagements zu begründen, und es sind mindestens folgende Elemente abzudecken:</w:t>
      </w:r>
    </w:p>
    <w:p>
      <w:r>
        <w:t>a) Audits der Herstellungstätigkeiten einschließlich Probenahme in der Herstellungsstätte im Drittstaat und Bewertung der darauf folgenden Transportschritte für die Charge und die Proben, um zu gewährleisten, dass die Proben für die eingeführte Charge repräsentativ sind;</w:t>
      </w:r>
    </w:p>
    <w:p>
      <w:r>
        <w:t>b) eine umfassende Analyse, die die Schlussfolgerung stützt, dass die im Drittstaat entnommenen Proben nach der Einfuhr für die Charge repräsentativ sind, und die mindestens Folgendes umfasst:</w:t>
      </w:r>
    </w:p>
    <w:p>
      <w:r>
        <w:t>— eine Beschreibung des Probenahmeverfahrens;</w:t>
      </w:r>
    </w:p>
    <w:p>
      <w:r>
        <w:t>— eine Beschreibung der Transportbedingungen für die Probe und die eingeführte Charge; alle Unterschiede sind zu begründen;</w:t>
      </w:r>
    </w:p>
    <w:p>
      <w:r>
        <w:t>— eine Vergleichsanalyse der im Drittstaat entnommenen Proben und der nach der Einfuhr entnommenen Proben; Abweichungen oder außerhalb der Trends liegende (OOT) Ergebnisse sind zu dokumentieren und zu untersuchen;</w:t>
      </w:r>
    </w:p>
    <w:p>
      <w:r>
        <w:t>— eine Berücksichtigung des Zeitabstands zwischen der Probenahme und der Einfuhr der Charge sowie Generierung von Daten, die die Angemessenheit festgelegter Grenzwerte belegen;</w:t>
      </w:r>
    </w:p>
    <w:p>
      <w:r>
        <w:t>c) es sind regelmäßige Analysen von nach der Einfuhr zufällig entnommenen Proben durchzuführen, um das fortgesetzte Vertrauen in die in einem Drittstaat entnommenen Proben zu rechtfertigen;</w:t>
      </w:r>
    </w:p>
    <w:p>
      <w:r>
        <w:t>d) vor der Zertifizierung einer Probe sind die Lagerungs- und Transportbedingungen für das Fertigprodukt und die Proben zu überprüfen;</w:t>
      </w:r>
    </w:p>
    <w:p>
      <w:r>
        <w:t>e) die von der Herstellungsstätte im Drittstaat bereitgestellte Chargendokumentation muss in einem Format und einer Sprache vorgelegt werden, die der Einführer versteht;</w:t>
      </w:r>
    </w:p>
    <w:p>
      <w:r>
        <w:t>f) an der für die Zertifizierung verantwortlichen Herstellungsstätte müssen die entsprechende Auftrags- und Lieferdokumentation zur Prüfung bereitstehen;</w:t>
      </w:r>
    </w:p>
    <w:p>
      <w:r>
        <w:t>g) bei Unterteilung von Chargen und der gesonderten Einfuhr von Teilmengen ist die Bilanzierung der Mengen zu verifizieren und zu dokumentieren; jede Abweichung ist unter der Aufsicht der für die Zertifizierung der Charge verantwortlichen sachkundigen Person zu untersuchen;</w:t>
      </w:r>
    </w:p>
    <w:p>
      <w:r>
        <w:t>h) die für die Zertifizierung verantwortliche Herstellungsstätte hat sicherzustellen, dass ein fortlaufendes Stabilitätsprogramm besteht und dass Referenzproben und Rückstellmuster entnommen wurden; das fortlaufende Stabilitätsprogramm darf an der Herstellungsstätte im Drittstaat durchgeführt werden.</w:t>
      </w:r>
    </w:p>
    <w:p>
      <w:r>
        <w:t>(4) Die für die Zertifizierung verantwortliche Herstellungsstätte muss den Hersteller im Drittland qualifizieren und eine regelmäßige Überwachung vornehmen, auch im Wege von Audits vor Ort, um die Einhaltung der guten Herstellungspraxis und der Zulassungsbedingungen sicherzustellen.</w:t>
      </w:r>
    </w:p>
    <w:p>
      <w:pPr>
        <w:pStyle w:val="Heading2"/>
      </w:pPr>
      <w:r>
        <w:t>Artikel 41 Umverpackungsvorgänge</w:t>
      </w:r>
    </w:p>
    <w:p>
      <w:r>
        <w:t>Die an einer Herstellungsstätte tätige sachkundige Person, die ausschließlich mit Umverpackungsvorgängen befasst ist, muss bescheinigen, dass die Umverpackung gemäß den betreffenden Anforderungen der guten Herstellungspraxis erfolgt ist.</w:t>
      </w:r>
    </w:p>
    <w:p>
      <w:pPr>
        <w:pStyle w:val="Heading2"/>
      </w:pPr>
      <w:r>
        <w:t>Artikel 42 Umgang mit ungeplanten Abweichungen</w:t>
      </w:r>
    </w:p>
    <w:p>
      <w:r>
        <w:t>Ist eine ungeplante Abweichung bezüglich des Herstellungsverfahrens bzw. der analytischen Kontrollmethoden aufgetreten, dann darf eine sachkundige Person die Konformität einer Charge bestätigen oder die Charge zertifizieren, sofern folgende Bedingungen erfüllt sind:</w:t>
      </w:r>
    </w:p>
    <w:p>
      <w:r>
        <w:t>a) die Spezifikationen für Wirkstoffe, Hilfsstoffe, Verpackungsmaterialien und das Endprodukt werden eingehalten;</w:t>
      </w:r>
    </w:p>
    <w:p>
      <w:r>
        <w:t>b) es findet eine umfassende Bewertung der Auswirkung der Abweichung statt, die die Schlussfolgerung stützt, dass der Fall keine negativen Folgen für die Qualität, Sicherheit oder Wirksamkeit des Produkts hat;</w:t>
      </w:r>
    </w:p>
    <w:p>
      <w:r>
        <w:t>c) sofern zutreffend, wurde die Notwendigkeit der Aufnahme der betroffenen Charge(n) in das fortlaufende Stabilitätsprogramm evaluiert.</w:t>
      </w:r>
    </w:p>
    <w:p>
      <w:pPr>
        <w:pStyle w:val="Heading1"/>
      </w:pPr>
      <w:r>
        <w:t>KAPITEL IX AUSGELAGERTE TÄTIGKEITEN</w:t>
      </w:r>
    </w:p>
    <w:p>
      <w:pPr>
        <w:pStyle w:val="Heading2"/>
      </w:pPr>
      <w:r>
        <w:t>Artikel 43 Anforderungen an ausgelagerte Tätigkeiten</w:t>
      </w:r>
    </w:p>
    <w:p>
      <w:r>
        <w:t>(1) Das Auslagern (Outsourcing) von Vorgängen im Zusammenhang mit der Herstellung oder Kontrolle von Tierarzneimitteln geschieht durch einen schriftlichen Vertrag, in dem die Zuständigkeiten jeder Partei klar dargestellt sind.</w:t>
      </w:r>
    </w:p>
    <w:p>
      <w:r>
        <w:t>(2) Der Hersteller (im Folgenden „Auftraggeber“) muss die Eignung des Subunternehmers (im Folgenden „Auftragnehmer“) zur Ausführung der ausgelagerten Tätigkeiten beurteilen.</w:t>
      </w:r>
    </w:p>
    <w:p>
      <w:r>
        <w:t>(3) Der Auftraggeber hat sicherzustellen, dass der Auftragnehmer ausreichende Informationen erhält, um die ausgelagerten Tätigkeiten ausführen zu können, und dass sich der Auftragnehmer über alle Probleme im Klaren ist, die mit dem Produkt oder der Arbeit in Zusammenhang stehen und die eine Gefahr für die Räumlichkeiten, die Ausrüstung, das Personal oder für sonstige Materialien oder sonstige Produkte darstellen könnten.</w:t>
      </w:r>
    </w:p>
    <w:p>
      <w:r>
        <w:t>(4) Der Vertrag muss folgende zusätzliche Aspekte berücksichtigen:</w:t>
      </w:r>
    </w:p>
    <w:p>
      <w:r>
        <w:t>a) der Auftragnehmer muss die gute Herstellungspraxis einhalten;</w:t>
      </w:r>
    </w:p>
    <w:p>
      <w:r>
        <w:t>b) der Auftragnehmer muss Audits oder Inspektionen durch den Auftraggeber und die zuständigen Behörden in Verbindung mit den ausgelagerten Tätigkeiten zulassen;</w:t>
      </w:r>
    </w:p>
    <w:p>
      <w:r>
        <w:t>c) alle Protokolle in Zusammenhang mit den ausgelagerten Tätigkeiten sowie Referenzproben sind entweder an den Auftraggeber zu übermitteln, oder der Auftraggeber muss anderenfalls Zugriff darauf erhalten;</w:t>
      </w:r>
    </w:p>
    <w:p>
      <w:r>
        <w:t>d) der Auftragnehmer darf ohne die schriftliche Genehmigung des Auftraggebers keine Unteraufträge über die ihm vertraglich übertragene Arbeit vergeben.</w:t>
      </w:r>
    </w:p>
    <w:p>
      <w:r>
        <w:t>(5) Der Auftraggeber muss die Protokolle und Ergebnisse der ausgelagerten Tätigkeiten überprüfen und beurteilen und gegebenenfalls entsprechende Maßnahmen ergreifen.</w:t>
      </w:r>
    </w:p>
    <w:p>
      <w:pPr>
        <w:pStyle w:val="Heading1"/>
      </w:pPr>
      <w:r>
        <w:t>KAPITEL X QUALITÄTSMÄNGEL UND PRODUKTRÜCKRUFE</w:t>
      </w:r>
    </w:p>
    <w:p>
      <w:pPr>
        <w:pStyle w:val="Heading2"/>
      </w:pPr>
      <w:r>
        <w:t>Artikel 44 Qualitätsmängel</w:t>
      </w:r>
    </w:p>
    <w:p>
      <w:r>
        <w:t>(1) Es ist ein System einzurichten, mit dem sichergestellt wird, dass sämtliche qualitätsbezogenen Beanstandungen, ob mündlich oder schriftlich, dokumentiert und gründlich untersucht werden, und dass angemessene Maßnahmen, erforderlichenfalls einschließlich des Rückrufs von Tierarzneimitteln, ergriffen werden.</w:t>
      </w:r>
    </w:p>
    <w:p>
      <w:r>
        <w:t>(2) Das für den Umgang mit qualitätsbezogenen Beanstandungen und die Durchführung von Untersuchungen über Qualitätsmängel verantwortliche Personal muss unabhängig von der Marketing- und der Vertriebsabteilung sein, sofern nicht anders begründet. Nimmt die an der Zertifizierung der betroffenen Chargen beteiligte sachkundige Person nicht an der Untersuchung teil, ist sie zeitnah zu informieren.</w:t>
      </w:r>
    </w:p>
    <w:p>
      <w:r>
        <w:t>(3) Es sind Arbeitsanweisungen auszuarbeiten, in denen die nach Erhalt einer qualitätsbezogenen Beanstandung zu ergreifenden Maßnahmen beschrieben werden. Diese Arbeitsanweisungen müssen mindestens Folgendes abdecken:</w:t>
      </w:r>
    </w:p>
    <w:p>
      <w:r>
        <w:t>a) die Bestimmung des Umfangs des Qualitätsmangels;</w:t>
      </w:r>
    </w:p>
    <w:p>
      <w:r>
        <w:t>b) die Beurteilung der Risiken, die von dem Qualitätsmangel ausgehen;</w:t>
      </w:r>
    </w:p>
    <w:p>
      <w:r>
        <w:t>c) die Identifizierung der potenziellen Ursachen des Qualitätsmangels oder, wenn die Ursache nicht ermittelt werden kann, die wahrscheinlichste Ursache;</w:t>
      </w:r>
    </w:p>
    <w:p>
      <w:r>
        <w:t>d) das Erfordernis geeigneter Risikominimierungsmaßnahmen;</w:t>
      </w:r>
    </w:p>
    <w:p>
      <w:r>
        <w:t>e) das Erfordernis von Abhilfe- oder Präventionsmaßnahmen;</w:t>
      </w:r>
    </w:p>
    <w:p>
      <w:r>
        <w:t>f) die Bewertung der Auswirkungen, die eine Rückrufaktion auf die Verfügbarkeit des Tierarzneimittels haben kann;</w:t>
      </w:r>
    </w:p>
    <w:p>
      <w:r>
        <w:t>g) die zu unternehmende interne und externe Kommunikation.</w:t>
      </w:r>
    </w:p>
    <w:p>
      <w:r>
        <w:t>(4) Wird der Umgang mit qualitätsbezogenen Beanstandungen und mutmaßlichen Qualitätsmängeln zentral innerhalb einer Organisation gesteuert, so sind die jeweiligen Aufgaben und Zuständigkeiten der einzelnen Beteiligten zu dokumentieren.</w:t>
      </w:r>
    </w:p>
    <w:p>
      <w:r>
        <w:t>(5) Wird das Tierarzneimittel von einem anderen Rechtsträger hergestellt, der nicht der Zulassungsinhaber ist, sind die Aufgaben und Zuständigkeiten des Herstellers, des Zulassungsinhabers und aller anderen relevanten Dritten schriftlich festzulegen.</w:t>
      </w:r>
    </w:p>
    <w:p>
      <w:r>
        <w:t>(6) Wenn in einer Charge ein Qualitätsmangel festgestellt oder vermutet wird, ist zu erwägen, ob weitere Chargen oder gegebenenfalls andere Produkte überprüft werden müssen, um festzustellen, ob diese auch betroffen sind. Chargen, die möglicherweise Anteile der mangelhaften Charge oder der mangelhaften Bestandteile beinhalten, sind zu untersuchen.</w:t>
      </w:r>
    </w:p>
    <w:p>
      <w:r>
        <w:t>(7) Die Untersuchungen von Qualitätsmängeln müssen eine Nachprüfung früherer Berichte über Qualitätsmängel oder anderer relevanter Informationen auf etwaige spezifische oder wiederkehrende Probleme umfassen.</w:t>
      </w:r>
    </w:p>
    <w:p>
      <w:r>
        <w:t>(8) Bei einer Untersuchung ist vorrangig sicherzustellen, dass angemessene Maßnahmen zur Risikominimierung ergriffen werden. Alle getroffenen Entscheidungen und Maßnahmen müssen dem Grad des Risikos Rechnung tragen und dokumentiert werden. Die Wirksamkeit der durchgeführten Abhilfe- und Präventionsmaßnahmen ist zu überwachen.</w:t>
      </w:r>
    </w:p>
    <w:p>
      <w:r>
        <w:t>(9) Qualitätsmängel sind zeitnah dem Zulassungsinhaber zu melden. Wenn ein bestätigter Qualitätsmangel vorliegt, der einen Produktrückruf oder eine ungewöhnliche Liefereinschränkung zur Folge haben könnte, sind auch die zuständigen Behörden zu informieren. Ungeplante Abweichungen wie in Artikel 42 beschrieben brauchen nicht gemeldet zu werden.</w:t>
      </w:r>
    </w:p>
    <w:p>
      <w:r>
        <w:t>(10) Maßnahmen für den Umgang mit Qualitätsmängeln müssen im Verhältnis zu den Risiken stehen, und der Schutz der behandelten Tiere sowie die Anwendersicherheit müssen an erster Stelle stehen. Soweit möglich sind die zu ergreifenden Maßnahmen mit den betroffenen zuständigen Behörden im Voraus zu erörtern.</w:t>
      </w:r>
    </w:p>
    <w:p>
      <w:pPr>
        <w:pStyle w:val="Heading2"/>
      </w:pPr>
      <w:r>
        <w:t>Artikel 45 Produktrückrufe</w:t>
      </w:r>
    </w:p>
    <w:p>
      <w:r>
        <w:t>(1) Es sind Verfahren für den Rückruf von Produkten einzuführen, darunter dazu, wie der Rückruf einzuleiten ist, wer im Fall eines Rückrufs zu informieren ist (einschließlich zuständiger Behörden) und wie das zurückgerufene Material zu behandeln ist. Es ist eindeutig festzulegen, welche Rolle und welche Aufgaben dem Hersteller und dem Zulassungsinhaber bei der Einleitung und Durchführung von Rückrufen jeweils zukommen.</w:t>
      </w:r>
    </w:p>
    <w:p>
      <w:r>
        <w:t>(2) Es ist sicherzustellen, dass Rückrufaktionen unverzüglich und jederzeit in Gang gesetzt werden können. In bestimmten Fällen und zum Schutz der Gesundheit der Verbraucher und der Tiere kann es nötig sein, Produkte vor Ergründung der Ursache oder des vollen Ausmaßes des Qualitätsmangels zurückzurufen.</w:t>
      </w:r>
    </w:p>
    <w:p>
      <w:r>
        <w:t>(3) Die Wirksamkeit des Rückrufverfahrens ist regelmäßig zu bewerten, sowohl innerhalb als auch außerhalb der Dienststunden. Es ist zu überlegen, Schein-Rückrufaktionen durchzuführen, und das Ergebnis dieser Bewertung ist zu dokumentieren.</w:t>
      </w:r>
    </w:p>
    <w:p>
      <w:r>
        <w:t>(4) Zurückgerufene Produkte sind als solche zu kennzeichnen sowie getrennt und gesichert zu lagern, solange eine Entscheidung darüber aussteht, was mit ihnen geschehen soll. Der Fortschritt des Rückrufs ist bis zum Abschluss des Rückrufverfahrens und der Erstellung eines Abschlussberichts aufzuzeichnen, einschließlich einer Bilanzierung der ausgelieferten und zurückerhaltenen Mengen der betroffenen Produkte oder Chargen.</w:t>
      </w:r>
    </w:p>
    <w:p>
      <w:r>
        <w:t>(5) Alle betroffenen zuständigen Behörden sind vor Beginn eines Rückrufs zu informieren, es sei denn, zum Schutz der Verbraucher- oder der Tiergesundheit ist sofortiges Handeln geboten. Die zuständigen Behörden sind auch in Fällen zu informieren, in denen für eine mangelhafte Charge keine Rückrufaktion geplant ist, weil die Charge abgelaufen ist.</w:t>
      </w:r>
    </w:p>
    <w:p>
      <w:r>
        <w:t>(6) Zusätzlich zu Rückrufen können andere risikomindernde Maßnahmen in Betracht gezogen werden, um Risiken durch Qualitätsmängel zu bewältigen, wie z. B. die Übermittlung entsprechender Informationen an Fachkräfte des Gesundheitswesens. Ein solches Vorgehen ist mit den zuständigen Behörden zu erörtern und abzustimmen.</w:t>
      </w:r>
    </w:p>
    <w:p>
      <w:pPr>
        <w:pStyle w:val="Heading1"/>
      </w:pPr>
      <w:r>
        <w:t>KAPITEL XI SCHLUSSBESTIMMUNGEN</w:t>
      </w:r>
    </w:p>
    <w:p>
      <w:pPr>
        <w:pStyle w:val="Heading2"/>
      </w:pPr>
      <w:r>
        <w:t>Artikel 46 Inkrafttreten und Geltungsbeginn</w:t>
      </w:r>
    </w:p>
    <w:p>
      <w:r>
        <w:t>Diese Verordnung tritt am zwanzigsten Tag nach ihrer Veröffentlichung im Amtsblatt der Europäischen Union in Kraft.</w:t>
      </w:r>
    </w:p>
    <w:p>
      <w:r>
        <w:t>Sie gilt ab dem 16. Juli 2026.</w:t>
      </w:r>
    </w:p>
    <w:p>
      <w:r>
        <w:t>Diese Verordnung ist in allen ihren Teilen verbindlich und gilt unmittelbar in jedem Mitgliedstaat.</w:t>
      </w:r>
    </w:p>
    <w:p>
      <w:r>
        <w:t>Brüssel, den 17. Oktober 2025</w:t>
      </w:r>
    </w:p>
    <w:p>
      <w:pPr>
        <w:pStyle w:val="Heading1"/>
      </w:pPr>
      <w:r>
        <w:t>ANHANG I STERILE PRODUKTE UND ASEPTISCHE HERSTELLUNG</w:t>
      </w:r>
    </w:p>
    <w:p>
      <w:pPr>
        <w:pStyle w:val="Heading1"/>
      </w:pPr>
      <w:r>
        <w:t>ANHANG I STERILE PRODUKTE UND ASEPTISCHE HERSTELLUNG (Fortsetzung)</w:t>
      </w:r>
    </w:p>
    <w:p>
      <w:pPr>
        <w:pStyle w:val="Heading2"/>
      </w:pPr>
      <w:r>
        <w:t>ABSCHNITT I</w:t>
      </w:r>
    </w:p>
    <w:p>
      <w:pPr>
        <w:pStyle w:val="Heading1"/>
      </w:pPr>
      <w:r>
        <w:t>ANHANG I STERILE PRODUKTE UND ASEPTISCHE HERSTELLUNG (Fortsetzung)</w:t>
      </w:r>
    </w:p>
    <w:p>
      <w:pPr>
        <w:pStyle w:val="Heading2"/>
      </w:pPr>
      <w:r>
        <w:t>ANWENDUNGSBEREICH</w:t>
      </w:r>
    </w:p>
    <w:p>
      <w:r>
        <w:t>Die in diesem Anhang festgelegten zusätzlichen Anforderungen gelten für die Herstellung von sterilen Produkten und Produkten, bei denen eine aseptische Herstellung erforderlich ist.</w:t>
      </w:r>
    </w:p>
    <w:p>
      <w:pPr>
        <w:pStyle w:val="Heading1"/>
      </w:pPr>
      <w:r>
        <w:t>ANHANG I STERILE PRODUKTE UND ASEPTISCHE HERSTELLUNG (Fortsetzung)</w:t>
      </w:r>
    </w:p>
    <w:p>
      <w:pPr>
        <w:pStyle w:val="Heading2"/>
      </w:pPr>
      <w:r>
        <w:t>ABSCHNITT II</w:t>
      </w:r>
    </w:p>
    <w:p>
      <w:pPr>
        <w:pStyle w:val="Heading1"/>
      </w:pPr>
      <w:r>
        <w:t>ANHANG I STERILE PRODUKTE UND ASEPTISCHE HERSTELLUNG (Fortsetzung)</w:t>
      </w:r>
    </w:p>
    <w:p>
      <w:pPr>
        <w:pStyle w:val="Heading2"/>
      </w:pPr>
      <w:r>
        <w:t>ALLGEMEINE GRUNDSÄTZE</w:t>
      </w:r>
    </w:p>
    <w:p>
      <w:r>
        <w:t>a) Räumlichkeiten, Ausrüstung und Prozesse müssen angemessen ausgelegt, qualifiziert und/oder validiert und gegebenenfalls kontinuierlich überprüft werden. Zum besseren Schutz des Produkts vor möglichen Fremdquellen für eine Kontamination mit Endotoxinen/Pyrogenen, Partikeln und Mikroorganismen und zur schnellen Erkennung möglicher Verunreinigungen in der Umgebung und im Produkt müssen geeignete Technologien (z. B. Barrieresysteme mit beschränktem Zugang, Isolatoren, Robotersysteme, schnelle/alternative Methoden und Systeme zur kontinuierlichen Überwachung) in Betracht gezogen werden.</w:t>
      </w:r>
    </w:p>
    <w:p>
      <w:r>
        <w:t>b) Das Personal muss ausreichend qualifiziert und erfahren sein und eine spezielle Schulung mit Schwerpunkt auf den Grundsätzen des Schutzes steriler Produkte erhalten haben.</w:t>
      </w:r>
    </w:p>
    <w:p>
      <w:r>
        <w:t>c) Die Prozesse und Überwachungssysteme für die Herstellung steriler Produkte müssen von Personal mit entsprechenden Kenntnissen (einschließlich der Aspekte des Prozesses und der einschlägigen technischen und mikrobiologischen Kenntnisse) konzipiert, in Betrieb genommen, qualifiziert, überwacht und regelmäßig überprüft werden.</w:t>
      </w:r>
    </w:p>
    <w:p>
      <w:r>
        <w:t>d) Ausgangsstoffe und Verpackungsmaterialien müssen angemessen kontrolliert und geprüft werden, um sicherzustellen, dass die mikrobiologische Grundbelastung (bioburden) und der Gehalt an Endotoxinen/Pyrogenen für die Verwendung geeignet sind.</w:t>
      </w:r>
    </w:p>
    <w:p>
      <w:r>
        <w:t>e) Prozesse im Zusammenhang mit der Fertigstellung und Lagerung steriler Produkte dürfen die Sterilität des Produkts nicht beeinträchtigen. Zu den in diesem Zusammenhang zu berücksichtigenden Aspekten gehören die Unversehrtheit des Behältnisses und die Aufrechterhaltung geeigneter Lagerbedingungen.</w:t>
      </w:r>
    </w:p>
    <w:p>
      <w:r>
        <w:t>f) Alle Nichtkonformitäten, wie z. B. Fehler bei Sterilitätsprüfungen, Abweichungen bei der Umgebungsüberwachung oder Abweichungen von festgelegten Verfahren, müssen vor der Zertifizierung/Freigabe der Charge angemessen untersucht werden. Bei der Untersuchung müssen die möglichen Auswirkungen auf den Prozess und die Qualität des Produkts ermittelt und geklärt werden, ob möglicherweise noch andere Prozesse oder Chargen betroffen sind. Es muss klar begründet und dokumentiert werden, warum ein Produkt oder eine Charge in den Untersuchungsumfang einbezogen oder davon ausgeschlossen wurde.</w:t>
      </w:r>
    </w:p>
    <w:p>
      <w:r>
        <w:t>— Auslegung der Anlage und Prozesse, einschließlich der zugehörigen Dokumentation;</w:t>
      </w:r>
    </w:p>
    <w:p>
      <w:r>
        <w:t>— Räumlichkeiten und Ausrüstung;</w:t>
      </w:r>
    </w:p>
    <w:p>
      <w:r>
        <w:t>— Personal;</w:t>
      </w:r>
    </w:p>
    <w:p>
      <w:r>
        <w:t>— Betriebsmittel;</w:t>
      </w:r>
    </w:p>
    <w:p>
      <w:r>
        <w:t>— Kontrolle der Ausgangsstoffe, einschließlich Inprozesskontrollen;</w:t>
      </w:r>
    </w:p>
    <w:p>
      <w:r>
        <w:t>— Produktbehältnisse und Verschlüsse;</w:t>
      </w:r>
    </w:p>
    <w:p>
      <w:r>
        <w:t>— Zulassung wichtiger Lieferanten von Bestandteilen und Anbietern kritischer Dienstleistungen;</w:t>
      </w:r>
    </w:p>
    <w:p>
      <w:r>
        <w:t>— Verwaltung ausgelagerter Tätigkeiten und Verfügbarkeit/Übertragung kritischer Informationen zwischen Parteien;</w:t>
      </w:r>
    </w:p>
    <w:p>
      <w:r>
        <w:t>— Prozessvalidierung, einschließlich Validierung von Sterilisationsprozessen;</w:t>
      </w:r>
    </w:p>
    <w:p>
      <w:r>
        <w:t>— vorbeugende Wartung: Wartung der Ausrüstung, Betriebsmittel und Räumlichkeiten (geplante und ungeplante Wartung), um das Kontaminationsrisiko möglichst gering zu halten;</w:t>
      </w:r>
    </w:p>
    <w:p>
      <w:r>
        <w:t>— Reinigung und Desinfektion;</w:t>
      </w:r>
    </w:p>
    <w:p>
      <w:r>
        <w:t>— Überwachungssysteme, einschließlich einer Bewertung, ob wissenschaftlich fundierte alternative Methoden eingeführt werden können, um Kontaminationen der Umgebung besser zu erkennen;</w:t>
      </w:r>
    </w:p>
    <w:p>
      <w:r>
        <w:t>— Präventionsmechanismen: Trendanalyse, eingehende Untersuchung, Bestimmung der Ursachen, Korrektur- und Vorbeugungsmaßnahmen und der Bedarf an umfassenden Untersuchungsinstrumenten;</w:t>
      </w:r>
    </w:p>
    <w:p>
      <w:r>
        <w:t>— kontinuierliche Verbesserung auf der Grundlage der oben genannten Informationen.</w:t>
      </w:r>
    </w:p>
    <w:p>
      <w:pPr>
        <w:pStyle w:val="Heading1"/>
      </w:pPr>
      <w:r>
        <w:t>ANHANG I STERILE PRODUKTE UND ASEPTISCHE HERSTELLUNG (Fortsetzung)</w:t>
      </w:r>
    </w:p>
    <w:p>
      <w:pPr>
        <w:pStyle w:val="Heading2"/>
      </w:pPr>
      <w:r>
        <w:t>ABSCHNITT III</w:t>
      </w:r>
    </w:p>
    <w:p>
      <w:pPr>
        <w:pStyle w:val="Heading1"/>
      </w:pPr>
      <w:r>
        <w:t>ANHANG I STERILE PRODUKTE UND ASEPTISCHE HERSTELLUNG (Fortsetzung)</w:t>
      </w:r>
    </w:p>
    <w:p>
      <w:pPr>
        <w:pStyle w:val="Heading2"/>
      </w:pPr>
      <w:r>
        <w:t>RÄUMLICHKEITEN</w:t>
      </w:r>
    </w:p>
    <w:p>
      <w:pPr>
        <w:pStyle w:val="Heading1"/>
      </w:pPr>
      <w:r>
        <w:t>ANHANG I STERILE PRODUKTE UND ASEPTISCHE HERSTELLUNG (Fortsetzung)</w:t>
      </w:r>
    </w:p>
    <w:p>
      <w:pPr>
        <w:pStyle w:val="Heading2"/>
      </w:pPr>
      <w:r>
        <w:t>III.1. Allgemeine Anforderungen</w:t>
      </w:r>
    </w:p>
    <w:p>
      <w:r>
        <w:t>a) Klasse A: Für Vorgänge mit hohem Risiko wie aseptische Verarbeitungslinien, Abfüllbereiche, Stopfenbehälter, offene primäre Verpackungen oder für die Herstellung aseptischer Verbindungen unter Schutz von Erstluft.</w:t>
      </w:r>
    </w:p>
    <w:p>
      <w:r>
        <w:t>Die Bedingungen der Klasse A werden in der Regel durch einen lokalen Luftstromschutz, wie z. B. Arbeitsplätze mit unidirektionalem Luftstrom innerhalb von RABS oder Isolatoren, gewährleistet. Die Aufrechterhaltung eines unidirektionalen Luftstroms muss für den gesamten Bereich der Klasse A nachgewiesen und qualifiziert werden. Direkte Eingriffe durch das Bedienungspersonal (z. B. ohne den Schutz durch Barrieren und Handschuhanschlüsse) in den Bereich der Klasse A müssen auf ein Minimum reduziert werden.</w:t>
      </w:r>
    </w:p>
    <w:p>
      <w:r>
        <w:t>b) Klasse B: Dies ist der Hintergrund-Reinraum für Klasse A für die aseptische Zubereitung und Abfüllung (mit Ausnahme von Isolatoren). Luftdruckgefälle müssen kontinuierlich überwacht werden. Bei Verwendung von Isolatortechnologie können Reinräume unterhalb der Klasse B in Betracht gezogen werden (siehe Abschnitt III.3.3 dieses Anhangs).</w:t>
      </w:r>
    </w:p>
    <w:p>
      <w:r>
        <w:t>c) Klasse C und D: Für weniger kritische Phasen der Herstellung aseptisch abgefüllter steriler Produkte oder als Hintergrund für Isolatoren. Sie können auch für die Zubereitung/Abfüllung von endsterilisierten Produkten verwendet werden.</w:t>
      </w:r>
    </w:p>
    <w:p>
      <w:r>
        <w:t>a) Wenn ein unidirektionaler Luftstrom erforderlich ist, müssen Visualisierungsstudien durchgeführt werden, um die Einhaltung dieser Anforderung nachzuweisen.</w:t>
      </w:r>
    </w:p>
    <w:p>
      <w:r>
        <w:t>b) Wenn abgefüllte, verschlossene Produkte über eine kleine Durchführung in einen angrenzenden Reinraum einer niedrigeren Reinheitsklasse gebracht werden, muss mit Studien zur Luftstromvisualisierung nachgewiesen werden, dass keine Luft aus den Reinräumen einer niedrigeren Reinheitsklasse in den Bereich der Reinheitsklasse B eindringt.</w:t>
      </w:r>
    </w:p>
    <w:p>
      <w:r>
        <w:t>c) Wenn Luftbewegungen ein Kontaminationsrisiko für den Reinraumbereich oder die kritische Zone darstellen, müssen Korrekturmaßnahmen, wie z. B. Verbesserung der Auslegung, ergriffen werden.</w:t>
      </w:r>
    </w:p>
    <w:p>
      <w:r>
        <w:t>d) Sowohl während des Ruhezustands als auch während des Betriebs müssen Untersuchungen des Luftstrommusters durchgeführt werden (z. B. Simulation von Eingriffen des Bedienungspersonals). Videoaufzeichnungen der Luftstrommuster müssen aufbewahrt werden. Die Ergebnisse der Studien zur Luftstromvisualisierung müssen dokumentiert und bei der Erstellung des Umgebungsüberwachungsprogramms für die Anlage angemessen berücksichtigt werden.</w:t>
      </w:r>
    </w:p>
    <w:p>
      <w:pPr>
        <w:pStyle w:val="Heading1"/>
      </w:pPr>
      <w:r>
        <w:t>ANHANG I STERILE PRODUKTE UND ASEPTISCHE HERSTELLUNG (Fortsetzung)</w:t>
      </w:r>
    </w:p>
    <w:p>
      <w:pPr>
        <w:pStyle w:val="Heading2"/>
      </w:pPr>
      <w:r>
        <w:t>III.2. Transfer von Ausrüstung und Materialien sowie Bewegung von Personal</w:t>
      </w:r>
    </w:p>
    <w:p>
      <w:r>
        <w:t>— Personalschleusen : Handwaschvorrichtungen dürfen in der Regel nur im ersten Abschnitt des Umkleideraums vorgesehen werden und nicht in Umkleideräumen mit direktem Zugang zum Bereich der Klasse B.</w:t>
      </w:r>
    </w:p>
    <w:p>
      <w:r>
        <w:t>— Materialschleusen : Schleusen und Materialdurchreichen müssen so ausgelegt sein, dass sie die Umgebung mit höherer Reinheitsklasse schützen, beispielsweise durch wirksames Spülen mit aktiv gefilterter Zuluft.</w:t>
      </w:r>
    </w:p>
    <w:p>
      <w:r>
        <w:t>Bei Materialdurchreichen und Schleusen (für Material und Personal) dürfen die Ein- und Ausgangstüren nicht gleichzeitig geöffnet werden. Für Schleusen, die zu Bereichen der Klasse A und B führen, muss ein Verriegelungssystem verwendet werden. Für Schleusen, die zu Bereichen der Klasse C und D führen, muss mindestens ein optisches und/oder akustisches Warnsystem eingerichtet werden. Wenn die Trennung des Bereichs aufrechterhalten werden muss, muss das Schließen und Öffnen der verriegelten Türen mit zeitlicher Verzögerung stattfinden.</w:t>
      </w:r>
    </w:p>
    <w:p>
      <w:pPr>
        <w:pStyle w:val="Heading1"/>
      </w:pPr>
      <w:r>
        <w:t>ANHANG I STERILE PRODUKTE UND ASEPTISCHE HERSTELLUNG (Fortsetzung)</w:t>
      </w:r>
    </w:p>
    <w:p>
      <w:pPr>
        <w:pStyle w:val="Heading2"/>
      </w:pPr>
      <w:r>
        <w:t>III.3. Barrieretechnologien</w:t>
      </w:r>
    </w:p>
    <w:p>
      <w:r>
        <w:t>a) Anforderungen an Isolatoren:</w:t>
      </w:r>
    </w:p>
    <w:p>
      <w:r>
        <w:t>— Bei der Auslegung offener Isolatoren müssen Bedingungen der Klasse A mit Erstluftschutz in der kritischen Zone und einem unidirektionalen Luftstrom gewährleistet werden, der während der Verarbeitung über die exponierten Produkte hinwegströmt und von diesen wegführt.</w:t>
      </w:r>
    </w:p>
    <w:p>
      <w:r>
        <w:t>— Bei der Auslegung geschlossener Isolatoren müssen Bedingungen der Klasse A mit angemessenem Schutz für die exponierten Produkte während der Verarbeitung gewährleistet werden. In geschlossenen Isolatoren, in denen einfache Arbeitsvorgänge durchgeführt werden, muss der Luftstrom nicht unbedingt vollständig unidirektional sein. Ein turbulenter Luftstrom darf jedoch das Risiko einer Kontamination des exponierten Produkts nicht erhöhen. Sind Verarbeitungslinien in geschlossene Isolatoren integriert, müssen Bedingungen der Klasse A mit Erstluftschutz in der kritischen Zone und einem unidirektionalen Luftstrom, der während der Verarbeitung über die exponierten Produkte hinwegströmt und von diesen wegführt, gewährleistet werden.</w:t>
      </w:r>
    </w:p>
    <w:p>
      <w:r>
        <w:t>— Unterdruckisolatoren müssen nur verwendet werden, wenn der Einschluss des Produkts als wesentlich erachtet wird (z. B. bei radiopharmazeutischen Produkten), und es müssen spezielle Risikokontrollmaßnahmen angewendet werden, um sicherzustellen, dass die kritische Zone nicht beeinträchtigt wird.</w:t>
      </w:r>
    </w:p>
    <w:p>
      <w:r>
        <w:t>b) Anforderungen an RABS: Bei der Auslegung von RABS müssen Bedingungen der Klasse A mit unidirektionalem Luftstrom und Erstluftschutz in der kritischen Zone gewährleistet werden. Ein positiver Luftstrom aus der kritischen Zone in die unterstützende Hintergrundumgebung muss aufrechterhalten werden.</w:t>
      </w:r>
    </w:p>
    <w:p>
      <w:r>
        <w:t>a) Anforderungen an Isolatoren:</w:t>
      </w:r>
    </w:p>
    <w:p>
      <w:r>
        <w:t>— Die angewandte Hintergrundklassifizierung muss auf einer Risikobewertung beruhen und im Rahmen der Strategie zur Kontaminationskontrolle begründet werden. Die Hintergrundumgebung für offene Isolatoren muss in der Regel mindestens der Klasse C entsprechen, während die Hintergrundumgebung für geschlossene Isolatoren mindestens der Klasse D entsprechen muss.</w:t>
      </w:r>
    </w:p>
    <w:p>
      <w:r>
        <w:t>— Zu den wichtigsten Erwägungen bei der Durchführung der Risikobewertung für die Strategie zur Kontaminationskontrolle eines Isolators gehören das Programm zur Biodekontamination, der Automatisierungsgrad, die Auswirkungen von Handschuhmanipulationen, die den „Erstluft“-Schutz der kritischen Prozesspunkte beeinträchtigen können, die Auswirkungen eines möglichen Verlusts der Unversehrtheit der Barriere/Handschuhe, die verwendeten Transfermechanismen und Tätigkeiten wie Einrichtung oder Wartung, die das Öffnen der Türen vor der endgültigen Biodekontamination des Isolators erfordern können. Werden zusätzliche Prozessrisiken festgestellt, muss eine höhere Hintergrundklasse angewendet werden, sofern dies nicht in der Strategie zur Kontaminationskontrolle angemessen begründet ist.</w:t>
      </w:r>
    </w:p>
    <w:p>
      <w:r>
        <w:t>— An den Anschlussstellen offener Isolatoren müssen Untersuchungen der Luftstrommuster durchgeführt werden, um nachzuweisen, dass keine Luft eindringen kann.</w:t>
      </w:r>
    </w:p>
    <w:p>
      <w:r>
        <w:t>b) Anforderungen an RABS: Die Hintergrundumgebung für RABS, die für die aseptische Verarbeitung verwendet wird, muss mindestens der Klasse B entsprechen, und es müssen Untersuchungen des Luftstrommusters durchgeführt werden, um nachzuweisen, dass während der Eingriffe keine Luft eindringt, auch nicht durch Türöffnungen, falls vorhanden.</w:t>
      </w:r>
    </w:p>
    <w:p>
      <w:r>
        <w:t>a) Anforderungen an Isolatoren:</w:t>
      </w:r>
    </w:p>
    <w:p>
      <w:r>
        <w:t>— Die Prüfung des Handschuhsystems auf Dichtheit muss unter Berücksichtigung des vorgesehenen Verwendungszwecks und der damit verbundenen Risiken mit einer geeigneten Methode durchgeführt werden. Die Prüfung muss in festgelegten Abständen durchgeführt werden. Im Allgemeinen muss die Prüfung der Handschuhe auf Unversehrtheit mindestens zu Beginn und am Ende jeder Charge oder Kampagne durchgeführt werden. Je nach Kampagnendauer können zusätzliche Prüfungen der Handschuhe auf Unversehrtheit erforderlich sein.</w:t>
      </w:r>
    </w:p>
    <w:p>
      <w:r>
        <w:t>Bei der Überwachung der Unversehrtheit der Handschuhe muss bei jeder Verwendung und nach jeder Handhabung, die die Unversehrtheit des Systems beeinträchtigen könnte, eine Sichtprüfung vorgenommen werden.</w:t>
      </w:r>
    </w:p>
    <w:p>
      <w:r>
        <w:t>Bei manuellen aseptischen Verarbeitungstätigkeiten (d. h. das Bedienungspersonal mischt, füllt, platziert und/oder versiegelt ein offenes Behältnis mit sterilem Produkt manuell), bei denen eine einzelne Einheit oder eine kleine Charge hergestellt wird, kann die Häufigkeit der Prüfung auf Unversehrtheit auf der Grundlage anderer Kriterien erfolgen, z. B. dem Beginn und Ende jeder Herstellungssitzung.</w:t>
      </w:r>
    </w:p>
    <w:p>
      <w:r>
        <w:t>— Die Prüfung des Isolatorsystems auf Unversehrtheit/Dichtheit muss in festgelegten Abständen durchgeführt werden.</w:t>
      </w:r>
    </w:p>
    <w:p>
      <w:r>
        <w:t>b) Anforderungen an RABS: Handschuhe, die im Bereich der Klasse A verwendet werden, müssen vor der Installation sterilisiert und vor jeder Herstellungskampagne nach einem validierten Verfahren sterilisiert oder wirksam biologisch dekontaminiert werden. Kommt es während des Betriebs zu einer Exposition gegenüber der Hintergrundumgebung, muss nach jeder Exposition eine Desinfektion nach einer zugelassenen Methode durchgeführt werden. Handschuhe müssen bei jeder Verwendung einer Sichtprüfung unterzogen werden, und in regelmäßigen Abständen muss eine Prüfung auf Unversehrtheit durchgeführt werden.</w:t>
      </w:r>
    </w:p>
    <w:p>
      <w:r>
        <w:t>a) Anforderungen an Isolatoren: Der Biodekontaminationsprozess des Innenraums muss automatisiert, validiert und innerhalb definierter Zyklusparameter kontrolliert werden, und es muss ein sporizides Mittel in geeigneter Form (z. B. gasförmig oder verdampft) verwendet werden. Handschuhe müssen entsprechend verlängert und die Finger getrennt werden, um den Kontakt mit dem Mittel sicherzustellen. Es müssen Methoden (Reinigung und sporizide Biodekontamination) angewendet werden, die die Innenflächen und die kritische Zone des Isolators frei von lebensfähigen Mikroorganismen halten.</w:t>
      </w:r>
    </w:p>
    <w:p>
      <w:r>
        <w:t>b) Anforderungen an RABS: Bei der sporiziden Desinfektion muss routinemäßig ein sporizides Mittel nach einer validierten Methode verwendet werden, bei der nachweislich alle Bereiche der Innenflächen erfasst werden und eine für die aseptische Verarbeitung geeignete Umgebung gewährleistet ist.</w:t>
      </w:r>
    </w:p>
    <w:p>
      <w:pPr>
        <w:pStyle w:val="Heading1"/>
      </w:pPr>
      <w:r>
        <w:t>ANHANG I STERILE PRODUKTE UND ASEPTISCHE HERSTELLUNG (Fortsetzung)</w:t>
      </w:r>
    </w:p>
    <w:p>
      <w:pPr>
        <w:pStyle w:val="Heading2"/>
      </w:pPr>
      <w:r>
        <w:t>III.4. Qualifizierung von Reinräumen und Reinluftanlagen</w:t>
      </w:r>
    </w:p>
    <w:p>
      <w:r>
        <w:t>— Prüfung des installierten Filtersystems auf Dichtheit und Unversehrtheit;</w:t>
      </w:r>
    </w:p>
    <w:p>
      <w:r>
        <w:t>— Luftstromprüfungen – Volumen und Geschwindigkeit;</w:t>
      </w:r>
    </w:p>
    <w:p>
      <w:r>
        <w:t>— Prüfung auf Luftdruckunterschied;</w:t>
      </w:r>
    </w:p>
    <w:p>
      <w:r>
        <w:t>— Prüfung und Visualisierung der Luftstromrichtung;</w:t>
      </w:r>
    </w:p>
    <w:p>
      <w:r>
        <w:t>— Kontamination von Luft und Oberflächen mit Mikroorganismen;</w:t>
      </w:r>
    </w:p>
    <w:p>
      <w:r>
        <w:t>— Prüfung zur Temperaturmessung;</w:t>
      </w:r>
    </w:p>
    <w:p>
      <w:r>
        <w:t>— Prüfung der relativen Luftfeuchtigkeit;</w:t>
      </w:r>
    </w:p>
    <w:p>
      <w:r>
        <w:t>— Prüfung zur Rückgewinnung;</w:t>
      </w:r>
    </w:p>
    <w:p>
      <w:r>
        <w:t>— Dichtheitsprüfung.</w:t>
      </w:r>
    </w:p>
    <w:p>
      <w:r>
        <w:t>— Der „Ruhezustand“ ist der Zustand, in dem die Installation aller Betriebsmittel einschließlich aller funktionierenden HLK-Anlagen abgeschlossen ist, die Hauptausrüstung für die Herstellung wie vorgeschrieben installiert, aber nicht in Betrieb ist und kein Personal im Raum anwesend ist.</w:t>
      </w:r>
    </w:p>
    <w:p>
      <w:r>
        <w:t>— Die in Tabelle 1 angegebenen Grenzwerte der Gesamtpartikelkonzentration für den „Ruhezustand“ müssen nach einer „Reinigungsphase“ nach Abschluss der Arbeitsvorgänge und der Freigabe/Reinigung der Produktionslinie erreicht werden. Die „Reinigungsphase“ (Richtwert weniger als 20 Minuten) muss während der Qualifizierung der Räume festgelegt, dokumentiert und in Verfahren eingehalten werden, um einen qualifizierten Reinheitszustand wiederherzustellen, wenn dieser während des Betriebs gestört wurde.</w:t>
      </w:r>
    </w:p>
    <w:p>
      <w:r>
        <w:t>— Der „Betriebszustand“ ist der Zustand, in dem die Installation des Reinraums abgeschlossen ist, das HLK-System voll funktionsfähig ist, die Ausrüstung installiert ist und im vom Hersteller festgelegten Betriebsmodus mit der maximalen Anzahl von anwesenden Personen funktioniert, die routinemäßige Betriebsarbeiten ausführen oder simulieren.</w:t>
      </w:r>
    </w:p>
    <w:p>
      <w:pPr>
        <w:pStyle w:val="Heading1"/>
      </w:pPr>
      <w:r>
        <w:t>ANHANG I STERILE PRODUKTE UND ASEPTISCHE HERSTELLUNG (Fortsetzung)</w:t>
      </w:r>
    </w:p>
    <w:p>
      <w:pPr>
        <w:pStyle w:val="Heading2"/>
      </w:pPr>
      <w:r>
        <w:t>Tabelle 1</w:t>
      </w:r>
    </w:p>
    <w:p>
      <w:pPr>
        <w:pStyle w:val="Heading1"/>
      </w:pPr>
      <w:r>
        <w:t>ANHANG I STERILE PRODUKTE UND ASEPTISCHE HERSTELLUNG (Fortsetzung)</w:t>
      </w:r>
    </w:p>
    <w:p>
      <w:pPr>
        <w:pStyle w:val="Heading2"/>
      </w:pPr>
      <w:r>
        <w:t>Maximal zulässige Gesamtpartikelkonzentration für die Klassifizierung</w:t>
      </w:r>
    </w:p>
    <w:p>
      <w:r>
        <w:rPr>
          <w:b/>
        </w:rPr>
        <w:t>Tabelle (zeilenweise wiedergegeben):</w:t>
      </w:r>
    </w:p>
    <w:p>
      <w:pPr>
        <w:pStyle w:val="ListBullet"/>
      </w:pPr>
      <w:r>
        <w:t>Maximale Grenzwerte für Gesamtpartikel ≥ 0,5 μm/m 3: Klasse; Maximale Grenzwerte für Gesamtpartikel ≥ 5 μm/m 3: Ruhezustand.</w:t>
      </w:r>
    </w:p>
    <w:p>
      <w:pPr>
        <w:pStyle w:val="ListBullet"/>
      </w:pPr>
      <w:r>
        <w:t>Maximale Grenzwerte für Gesamtpartikel ≥ 0,5 μm/m 3: A; Maximale Grenzwerte für Gesamtpartikel ≥ 5 μm/m 3: 3 520.</w:t>
      </w:r>
    </w:p>
    <w:p>
      <w:pPr>
        <w:pStyle w:val="ListBullet"/>
      </w:pPr>
      <w:r>
        <w:t>Maximale Grenzwerte für Gesamtpartikel ≥ 0,5 μm/m 3: B; Maximale Grenzwerte für Gesamtpartikel ≥ 5 μm/m 3: 3 520.</w:t>
      </w:r>
    </w:p>
    <w:p>
      <w:pPr>
        <w:pStyle w:val="ListBullet"/>
      </w:pPr>
      <w:r>
        <w:t>Maximale Grenzwerte für Gesamtpartikel ≥ 0,5 μm/m 3: C; Maximale Grenzwerte für Gesamtpartikel ≥ 5 μm/m 3: 352 000.</w:t>
      </w:r>
    </w:p>
    <w:p>
      <w:pPr>
        <w:pStyle w:val="ListBullet"/>
      </w:pPr>
      <w:r>
        <w:t>Maximale Grenzwerte für Gesamtpartikel ≥ 0,5 μm/m 3: D; Maximale Grenzwerte für Gesamtpartikel ≥ 5 μm/m 3: 3 520 000.</w:t>
      </w:r>
    </w:p>
    <w:p>
      <w:pPr>
        <w:pStyle w:val="Heading1"/>
      </w:pPr>
      <w:r>
        <w:t>ANHANG I STERILE PRODUKTE UND ASEPTISCHE HERSTELLUNG (Fortsetzung)</w:t>
      </w:r>
    </w:p>
    <w:p>
      <w:pPr>
        <w:pStyle w:val="Heading2"/>
      </w:pPr>
      <w:r>
        <w:t>Tabelle 2</w:t>
      </w:r>
    </w:p>
    <w:p>
      <w:pPr>
        <w:pStyle w:val="Heading1"/>
      </w:pPr>
      <w:r>
        <w:t>ANHANG I STERILE PRODUKTE UND ASEPTISCHE HERSTELLUNG (Fortsetzung)</w:t>
      </w:r>
    </w:p>
    <w:p>
      <w:pPr>
        <w:pStyle w:val="Heading2"/>
      </w:pPr>
      <w:r>
        <w:t>Maximal zulässiger mikrobieller Kontaminationsgrad während der Qualifizierung</w:t>
      </w:r>
    </w:p>
    <w:p>
      <w:r>
        <w:rPr>
          <w:b/>
        </w:rPr>
        <w:t>Tabelle (zeilenweise wiedergegeben):</w:t>
      </w:r>
    </w:p>
    <w:p>
      <w:pPr>
        <w:pStyle w:val="ListBullet"/>
      </w:pPr>
      <w:r>
        <w:t>Klasse: A; Luftprobe KBE /m 3: Kein Wachstum.</w:t>
      </w:r>
    </w:p>
    <w:p>
      <w:pPr>
        <w:pStyle w:val="ListBullet"/>
      </w:pPr>
      <w:r>
        <w:t>Klasse: B; Luftprobe KBE /m 3: 10; Sedimentationsplatten (Durchmesser 90 mm) KBE/4 Stunden: 5; Abklatschplatten (Durchmesser 55 mm) KBE/Platte: 5.</w:t>
      </w:r>
    </w:p>
    <w:p>
      <w:pPr>
        <w:pStyle w:val="ListBullet"/>
      </w:pPr>
      <w:r>
        <w:t>Klasse: C; Luftprobe KBE /m 3: 100; Sedimentationsplatten (Durchmesser 90 mm) KBE/4 Stunden: 50; Abklatschplatten (Durchmesser 55 mm) KBE/Platte: 25.</w:t>
      </w:r>
    </w:p>
    <w:p>
      <w:pPr>
        <w:pStyle w:val="ListBullet"/>
      </w:pPr>
      <w:r>
        <w:t>Klasse: D; Luftprobe KBE /m 3: 200; Sedimentationsplatten (Durchmesser 90 mm) KBE/4 Stunden: 100; Abklatschplatten (Durchmesser 55 mm) KBE/Platte: 50.</w:t>
      </w:r>
    </w:p>
    <w:p>
      <w:pPr>
        <w:pStyle w:val="ListBullet"/>
      </w:pPr>
      <w:r>
        <w:t>Klasse: Anmerkung 1 : Alle für eine bestimmte Klasse in der Tabelle angegebenen Methoden müssen zur Qualifizierung des Bereichs dieser bestimmten Klasse angewendet werden. Wenn eine der in der Tabelle aufgeführten Methoden nicht verwendet wird oder alternative Methoden zum Einsatz kommen, muss die gewählte Vorgehensweise angemessen begründet werden. Anmerkung 2 : Die Grenzwerte werden im gesamten Dokument auf der Grundlage der KBE angewendet. Werden andere oder neue Technologien verwendet, bei denen die Ergebnisse in einer anderen Form als KBE dargestellt werden, muss der Hersteller die angewandten Grenzwerte wissenschaftlich begründen und sie nach Möglichkeit mit KBE abgleichen. Anmerkung 3 : Für die Qualifizierung der Kleidung des Personals müssen die in Tabelle 6 angegebenen Grenzwerte für Abklatschplatten und Handschuhabdrücke herangezogen werden. Anmerkung 4 : Die Probenahmemethoden dürfen kein Kontaminationsrisiko für die Herstellungsvorgänge darstellen.</w:t>
      </w:r>
    </w:p>
    <w:p>
      <w:r>
        <w:t>— Reinraumklassifizierung (Gesamtpartikelkonzentration);</w:t>
      </w:r>
    </w:p>
    <w:p>
      <w:r>
        <w:t>— Prüfung der Endfilter auf Unversehrtheit;</w:t>
      </w:r>
    </w:p>
    <w:p>
      <w:r>
        <w:t>— Messung des Luftvolumenstroms;</w:t>
      </w:r>
    </w:p>
    <w:p>
      <w:r>
        <w:t>— Überprüfung des Luftdruckunterschieds zwischen den Räumen;</w:t>
      </w:r>
    </w:p>
    <w:p>
      <w:r>
        <w:t>— Prüfung der Luftgeschwindigkeit: Diese Prüfung ist für Abfüllbereiche erforderlich, die mit einem unidirektionalen Luftstrom versorgt werden (z. B. bei der Abfüllung von endsterilisierten Produkten oder der Hintergrund von Reinräumen der Klasse A und RABS). Bei Bereichen der Klassen B, C und D muss die Luftgeschwindigkeitsprüfung auf einer Risikobewertung beruhen, die im Rahmen der Strategie zur Kontaminationskontrolle dokumentiert werden muss. Schließlich muss bei Klassen mit nicht unidirektionalem Luftstrom die Luftgeschwindigkeitsprüfung durch eine Messung im Rahmen der Rückgewinnungsprüfung ersetzt werden.</w:t>
      </w:r>
    </w:p>
    <w:p>
      <w:r>
        <w:t>Darüber hinaus muss nach Abschluss einer Abhilfemaßnahme zur Behebung einer Nichtkonformität der Ausrüstung oder der Räumlichkeiten oder gegebenenfalls nach Änderungen an der Ausrüstung, den Räumlichkeiten oder den Prozessen eine angemessene Neuqualifizierung durchgeführt werden, die mindestens die oben genannten Prüfungen umfasst. Zu den Beispielen für Änderungen, bei denen eine Neuqualifizierung erforderlich ist, gehören die Unterbrechung der Luftbewegung, die den Betrieb der Anlage beeinträchtigt, eine Änderung der Auslegung des Reinraums oder der Betriebsparameter des HLK-Systems oder Wartungsarbeiten, die den Betrieb der Anlage beeinträchtigen (z. B. Austausch der Endfilter).</w:t>
      </w:r>
    </w:p>
    <w:p>
      <w:pPr>
        <w:pStyle w:val="Heading1"/>
      </w:pPr>
      <w:r>
        <w:t>ANHANG I STERILE PRODUKTE UND ASEPTISCHE HERSTELLUNG (Fortsetzung)</w:t>
      </w:r>
    </w:p>
    <w:p>
      <w:pPr>
        <w:pStyle w:val="Heading2"/>
      </w:pPr>
      <w:r>
        <w:t>III.5. Desinfektion</w:t>
      </w:r>
    </w:p>
    <w:p>
      <w:r>
        <w:t>Damit die Desinfektion wirksam ist, muss zuvor eine Reinigung durchgeführt werden, um Oberflächenkontaminationen zu entfernen. In einigen Fällen muss zusätzlich ein Reinigungsverfahren durchgeführt werden, um Rückstände von Desinfektionsmitteln wirksam zu entfernen.</w:t>
      </w:r>
    </w:p>
    <w:p>
      <w:pPr>
        <w:pStyle w:val="Heading1"/>
      </w:pPr>
      <w:r>
        <w:t>ANHANG I STERILE PRODUKTE UND ASEPTISCHE HERSTELLUNG (Fortsetzung)</w:t>
      </w:r>
    </w:p>
    <w:p>
      <w:pPr>
        <w:pStyle w:val="Heading2"/>
      </w:pPr>
      <w:r>
        <w:t>ABSCHNITT IV</w:t>
      </w:r>
    </w:p>
    <w:p>
      <w:pPr>
        <w:pStyle w:val="Heading1"/>
      </w:pPr>
      <w:r>
        <w:t>ANHANG I STERILE PRODUKTE UND ASEPTISCHE HERSTELLUNG (Fortsetzung)</w:t>
      </w:r>
    </w:p>
    <w:p>
      <w:pPr>
        <w:pStyle w:val="Heading2"/>
      </w:pPr>
      <w:r>
        <w:t>AUSRÜSTUNG</w:t>
      </w:r>
    </w:p>
    <w:p>
      <w:pPr>
        <w:pStyle w:val="Heading1"/>
      </w:pPr>
      <w:r>
        <w:t>ANHANG I STERILE PRODUKTE UND ASEPTISCHE HERSTELLUNG (Fortsetzung)</w:t>
      </w:r>
    </w:p>
    <w:p>
      <w:pPr>
        <w:pStyle w:val="Heading2"/>
      </w:pPr>
      <w:r>
        <w:t>ABSCHNITT V</w:t>
      </w:r>
    </w:p>
    <w:p>
      <w:pPr>
        <w:pStyle w:val="Heading1"/>
      </w:pPr>
      <w:r>
        <w:t>ANHANG I STERILE PRODUKTE UND ASEPTISCHE HERSTELLUNG (Fortsetzung)</w:t>
      </w:r>
    </w:p>
    <w:p>
      <w:pPr>
        <w:pStyle w:val="Heading2"/>
      </w:pPr>
      <w:r>
        <w:t>BETRIEBSMITTEL</w:t>
      </w:r>
    </w:p>
    <w:p>
      <w:pPr>
        <w:pStyle w:val="Heading1"/>
      </w:pPr>
      <w:r>
        <w:t>ANHANG I STERILE PRODUKTE UND ASEPTISCHE HERSTELLUNG (Fortsetzung)</w:t>
      </w:r>
    </w:p>
    <w:p>
      <w:pPr>
        <w:pStyle w:val="Heading2"/>
      </w:pPr>
      <w:r>
        <w:t>V.1. Allgemeine Anforderungen</w:t>
      </w:r>
    </w:p>
    <w:p>
      <w:r>
        <w:t>Die folgenden Betriebsmittel gelten im Allgemeinen als mit einem höheren Risiko verbunden:</w:t>
      </w:r>
    </w:p>
    <w:p>
      <w:r>
        <w:t>— Betriebsmittel, die in direkten Kontakt mit dem Produkt kommen, z. B. Wasser zum Waschen und Spülen, Gase und Dampf zur Sterilisation;</w:t>
      </w:r>
    </w:p>
    <w:p>
      <w:r>
        <w:t>— Kontaktmaterialien, die letztlich Teil des Produkts werden;</w:t>
      </w:r>
    </w:p>
    <w:p>
      <w:r>
        <w:t>— Kontaktflächen, die mit dem Produkt in Berührung kommen;</w:t>
      </w:r>
    </w:p>
    <w:p>
      <w:r>
        <w:t>— Betriebsmittel, die sich anderweitig direkt auf das Produkt auswirken.</w:t>
      </w:r>
    </w:p>
    <w:p>
      <w:r>
        <w:t>— Durchflussrichtung, Gefälle, Durchmesser und Länge der Rohrleitungen;</w:t>
      </w:r>
    </w:p>
    <w:p>
      <w:r>
        <w:t>— Angaben zu Tanks und Behältern;</w:t>
      </w:r>
    </w:p>
    <w:p>
      <w:r>
        <w:t>— Ventile, Filter, Abflüsse, Probenahme- und Entnahmestellen.</w:t>
      </w:r>
    </w:p>
    <w:p>
      <w:pPr>
        <w:pStyle w:val="Heading1"/>
      </w:pPr>
      <w:r>
        <w:t>ANHANG I STERILE PRODUKTE UND ASEPTISCHE HERSTELLUNG (Fortsetzung)</w:t>
      </w:r>
    </w:p>
    <w:p>
      <w:pPr>
        <w:pStyle w:val="Heading2"/>
      </w:pPr>
      <w:r>
        <w:t>V.2. Wassersysteme</w:t>
      </w:r>
    </w:p>
    <w:p>
      <w:pPr>
        <w:pStyle w:val="Heading1"/>
      </w:pPr>
      <w:r>
        <w:t>ANHANG I STERILE PRODUKTE UND ASEPTISCHE HERSTELLUNG (Fortsetzung)</w:t>
      </w:r>
    </w:p>
    <w:p>
      <w:pPr>
        <w:pStyle w:val="Heading2"/>
      </w:pPr>
      <w:r>
        <w:t>V.3. Dampf als direktes Sterilisationsmittel</w:t>
      </w:r>
    </w:p>
    <w:p>
      <w:pPr>
        <w:pStyle w:val="Heading1"/>
      </w:pPr>
      <w:r>
        <w:t>ANHANG I STERILE PRODUKTE UND ASEPTISCHE HERSTELLUNG (Fortsetzung)</w:t>
      </w:r>
    </w:p>
    <w:p>
      <w:pPr>
        <w:pStyle w:val="Heading2"/>
      </w:pPr>
      <w:r>
        <w:t>V.4. Gase und Vakuumsysteme</w:t>
      </w:r>
    </w:p>
    <w:p>
      <w:pPr>
        <w:pStyle w:val="Heading1"/>
      </w:pPr>
      <w:r>
        <w:t>ANHANG I STERILE PRODUKTE UND ASEPTISCHE HERSTELLUNG (Fortsetzung)</w:t>
      </w:r>
    </w:p>
    <w:p>
      <w:pPr>
        <w:pStyle w:val="Heading2"/>
      </w:pPr>
      <w:r>
        <w:t>V.5. Heiz-, Kühl- und Hydrauliksysteme</w:t>
      </w:r>
    </w:p>
    <w:p>
      <w:pPr>
        <w:pStyle w:val="Heading1"/>
      </w:pPr>
      <w:r>
        <w:t>ANHANG I STERILE PRODUKTE UND ASEPTISCHE HERSTELLUNG (Fortsetzung)</w:t>
      </w:r>
    </w:p>
    <w:p>
      <w:pPr>
        <w:pStyle w:val="Heading2"/>
      </w:pPr>
      <w:r>
        <w:t>ABSCHNITT VI</w:t>
      </w:r>
    </w:p>
    <w:p>
      <w:pPr>
        <w:pStyle w:val="Heading1"/>
      </w:pPr>
      <w:r>
        <w:t>ANHANG I STERILE PRODUKTE UND ASEPTISCHE HERSTELLUNG (Fortsetzung)</w:t>
      </w:r>
    </w:p>
    <w:p>
      <w:pPr>
        <w:pStyle w:val="Heading2"/>
      </w:pPr>
      <w:r>
        <w:t>PERSONAL</w:t>
      </w:r>
    </w:p>
    <w:p>
      <w:r>
        <w:t>Nichtqualifiziertes Personal darf Reinräume der Klasse B oder Klasse A während des Betriebs nicht betreten. Sofern in Ausnahmefällen erforderlich, muss der Hersteller schriftliche Verfahren festlegen, in denen beschrieben ist, wie nichtqualifiziertes Personal Zugang in die Bereiche der Klassen B und A erhalten kann. Eine vom Hersteller befugte Person muss das nichtqualifizierte Personal während seiner Tätigkeiten beaufsichtigen und die Auswirkungen dieser Tätigkeiten auf die Reinheit des Bereichs beurteilen. Der Zugang dieser Personen muss überprüft und protokolliert werden.</w:t>
      </w:r>
    </w:p>
    <w:p>
      <w:r>
        <w:t>Die Kleidung muss unmittelbar vor und nach dem Anziehen auf Reinheit und Unversehrtheit überprüft werden. Die Unversehrtheit der Kleidung muss auch beim Verlassen des Raums überprüft werden. Vor der Verwendung von sterilisierter Kleidung und Augenschutz muss überprüft werden, ob diese einem Sterilisationsprozess unterzogen wurden, ob die vorgeschriebene Haltezeit eingehalten wurde und ob die Verpackung nicht manipuliert wurde. Wiederverwendbare Kleidung (einschließlich Augenschutz) muss bei Feststellung von Beschädigungen oder in einer in Qualifizierungsstudien festgelegten Häufigkeit ersetzt werden. Bei der Qualifizierung von Kleidung müssen alle erforderlichen Anforderungen an die Prüfung von Kleidung berücksichtigt werden, einschließlich Schäden, die bei einer Sichtprüfung allein nicht festgestellt werden können.</w:t>
      </w:r>
    </w:p>
    <w:p>
      <w:r>
        <w:t>a) Klasse B (einschließlich Zugang/Eingriffe in Klasse A):</w:t>
      </w:r>
    </w:p>
    <w:p>
      <w:r>
        <w:t>— Vor dem Ankleiden muss geeignete Kleidung getragen werden, die für die Verwendung unter einem sterilisierten Anzug vorgesehen ist.</w:t>
      </w:r>
    </w:p>
    <w:p>
      <w:r>
        <w:t>— Beim Anlegen der sterilisierten Kleidung müssen entsprechend sterilisierte, nicht gepuderte Handschuhe aus Gummi oder Kunststoff getragen werden.</w:t>
      </w:r>
    </w:p>
    <w:p>
      <w:r>
        <w:t>— Sterile Kopfbedeckungen müssen das gesamte Haar (einschließlich Gesichtsbehaarung) bedecken und, sofern sie vom Rest der Kleidung getrennt sind, in den Kragen des sterilen Anzugs gesteckt werden.</w:t>
      </w:r>
    </w:p>
    <w:p>
      <w:r>
        <w:t>— Eine sterile Gesichtsmaske und sterile Augenbedeckungen (z. B. Schutzbrillen) müssen getragen werden, um die gesamte Gesichtshaut zu bedecken und zu umschließen und das Abgeben von Tröpfchen und Partikeln zu verhindern.</w:t>
      </w:r>
    </w:p>
    <w:p>
      <w:r>
        <w:t>— Es muss geeignetes sterilisiertes Schuhwerk (z. B. Überziehstiefel) getragen werden.</w:t>
      </w:r>
    </w:p>
    <w:p>
      <w:r>
        <w:t>— Die Hosenbeine müssen in das Schuhwerk und die Ärmel der Kleidung in ein zweites Paar sterile Handschuhe gesteckt werden, die über dem beim Anziehen der Kleidung getragenen Paar Handschuhe zu tragen sind.</w:t>
      </w:r>
    </w:p>
    <w:p>
      <w:r>
        <w:t>— Die Schutzkleidung darf nahezu keine Fasern oder Partikel abgeben und muss vom Körper abgegebene Partikel zurückhalten. Die Wirksamkeit der Kleidung hinsichtlich der Abgabe und Zurückhaltung von Partikeln muss bei der Qualifizierung der Kleidung bewertet werden.</w:t>
      </w:r>
    </w:p>
    <w:p>
      <w:r>
        <w:t>— Kleidung muss so verpackt und gefaltet werden, dass das Anlegen ohne Berühren der Außenfläche der Kleidung möglich ist und die Kleidung den Boden nicht berührt.</w:t>
      </w:r>
    </w:p>
    <w:p>
      <w:r>
        <w:t>b) Klasse C:</w:t>
      </w:r>
    </w:p>
    <w:p>
      <w:r>
        <w:t>— Haare, Bärte und Schnurrbärte müssen bedeckt sein.</w:t>
      </w:r>
    </w:p>
    <w:p>
      <w:r>
        <w:t>— Es müssen ein ein- oder zweiteiliger Hosenanzug mit hohem Kragen und geschlossenem Bund an den Handgelenken sowie entsprechend desinfizierte Schuhe oder Überschuhe getragen werden; sie dürfen nahezu keine Fasern und Partikeln abgeben.</w:t>
      </w:r>
    </w:p>
    <w:p>
      <w:r>
        <w:t>— In Bereichen der Klasse C kann bei Tätigkeiten, die ein Kontaminationsrisiko darstellen, zusätzliche Kleidung, einschließlich Handschuhen und Gesichtsmasken, erforderlich sein.</w:t>
      </w:r>
    </w:p>
    <w:p>
      <w:r>
        <w:t>c) Klasse D:</w:t>
      </w:r>
    </w:p>
    <w:p>
      <w:r>
        <w:t>— Haare, Bärte und Schnurrbärte müssen bedeckt sein.</w:t>
      </w:r>
    </w:p>
    <w:p>
      <w:r>
        <w:t>— Es müssen ein allgemeiner Schutzanzug und angemessen desinfizierte Schuhe oder Überschuhe getragen werden.</w:t>
      </w:r>
    </w:p>
    <w:p>
      <w:r>
        <w:t>— es müssen geeignete Maßnahmen getroffen werden, um das Eindringen von Verunreinigungen von außerhalb des Reinraumbereichs zu verhindern.</w:t>
      </w:r>
    </w:p>
    <w:p>
      <w:r>
        <w:t>— In Bereichen der Klasse D kann bei Tätigkeiten, die ein Kontaminationsrisiko darstellen, zusätzliche Kleidung, einschließlich Handschuhen und Gesichtsmasken, erforderlich sein.</w:t>
      </w:r>
    </w:p>
    <w:p>
      <w:pPr>
        <w:pStyle w:val="Heading1"/>
      </w:pPr>
      <w:r>
        <w:t>ANHANG I STERILE PRODUKTE UND ASEPTISCHE HERSTELLUNG (Fortsetzung)</w:t>
      </w:r>
    </w:p>
    <w:p>
      <w:pPr>
        <w:pStyle w:val="Heading2"/>
      </w:pPr>
      <w:r>
        <w:t>ABSCHNITT VII</w:t>
      </w:r>
    </w:p>
    <w:p>
      <w:pPr>
        <w:pStyle w:val="Heading1"/>
      </w:pPr>
      <w:r>
        <w:t>ANHANG I STERILE PRODUKTE UND ASEPTISCHE HERSTELLUNG (Fortsetzung)</w:t>
      </w:r>
    </w:p>
    <w:p>
      <w:pPr>
        <w:pStyle w:val="Heading2"/>
      </w:pPr>
      <w:r>
        <w:t>PRODUKTION UND SPEZIFISCHE TECHNOLOGIEN</w:t>
      </w:r>
    </w:p>
    <w:p>
      <w:pPr>
        <w:pStyle w:val="Heading1"/>
      </w:pPr>
      <w:r>
        <w:t>ANHANG I STERILE PRODUKTE UND ASEPTISCHE HERSTELLUNG (Fortsetzung)</w:t>
      </w:r>
    </w:p>
    <w:p>
      <w:pPr>
        <w:pStyle w:val="Heading2"/>
      </w:pPr>
      <w:r>
        <w:t>VII.1. Endsterilisierte Produkte</w:t>
      </w:r>
    </w:p>
    <w:p>
      <w:r>
        <w:t>Abweichend von der vorstehend vorgesehenen Umgebung der Klasse C kann die Zubereitung von endsterilisierten Produkten in Ausnahmefällen, z. B. wenn bei dem Herstellungsprozess Pulver/Staub entsteht, der mit angemessenen Mitteln nicht verhindert werden kann, in einer Umgebung der Klasse D erfolgen. Für die Anwendung der Klasse D in diesem Ausnahmefall muss der Hersteller eine Risikobewertung durchführen und geeignete Maßnahmen ergreifen, um sicherzustellen, dass die Qualität des Produkts nicht beeinträchtigt wird. Dies muss im Rahmen der Strategie zur Kontaminationskontrolle dokumentiert werden.</w:t>
      </w:r>
    </w:p>
    <w:p>
      <w:pPr>
        <w:pStyle w:val="Heading1"/>
      </w:pPr>
      <w:r>
        <w:t>ANHANG I STERILE PRODUKTE UND ASEPTISCHE HERSTELLUNG (Fortsetzung)</w:t>
      </w:r>
    </w:p>
    <w:p>
      <w:pPr>
        <w:pStyle w:val="Heading2"/>
      </w:pPr>
      <w:r>
        <w:t>Tabelle 3</w:t>
      </w:r>
    </w:p>
    <w:p>
      <w:pPr>
        <w:pStyle w:val="Heading1"/>
      </w:pPr>
      <w:r>
        <w:t>ANHANG I STERILE PRODUKTE UND ASEPTISCHE HERSTELLUNG (Fortsetzung)</w:t>
      </w:r>
    </w:p>
    <w:p>
      <w:pPr>
        <w:pStyle w:val="Heading2"/>
      </w:pPr>
      <w:r>
        <w:t>Beispiele von Arbeitsvorgängen und Klassen für endsterilisierte Zubereitungs- und Verarbeitungsvorgänge</w:t>
      </w:r>
    </w:p>
    <w:p>
      <w:r>
        <w:t>Klasse A Abfüllen von Produkten bei ungewöhnlichem/hohem Risiko einer mikrobiellen Kontamination, es sei denn, eine niedrigere Klasse kann gemäß Abschnitt VII.1.3 begründet werden.</w:t>
      </w:r>
    </w:p>
    <w:p>
      <w:r>
        <w:t>Klasse C Zubereitung von Lösungen bei ungewöhnlichem/hohem Risiko einer mikrobiellen Kontamination, es sei denn, Klasse D kann gemäß Abschnitt VII.1.1 Unterabsatz 2 begründet werden.</w:t>
      </w:r>
    </w:p>
    <w:p>
      <w:r>
        <w:t>Abfüllen von Produkten (außer wenn Klasse A erforderlich ist), es sei denn, Klasse D kann gemäß Abschnitt VII.1.3 begründet werden.</w:t>
      </w:r>
    </w:p>
    <w:p>
      <w:r>
        <w:t>Klasse D Zubereitung von Lösungen und Bestandteilen für die anschließende Abfüllung.</w:t>
      </w:r>
    </w:p>
    <w:p>
      <w:pPr>
        <w:pStyle w:val="Heading1"/>
      </w:pPr>
      <w:r>
        <w:t>ANHANG I STERILE PRODUKTE UND ASEPTISCHE HERSTELLUNG (Fortsetzung)</w:t>
      </w:r>
    </w:p>
    <w:p>
      <w:pPr>
        <w:pStyle w:val="Heading2"/>
      </w:pPr>
      <w:r>
        <w:t>VII.2. Aseptische Zubereitung und Verarbeitung</w:t>
      </w:r>
    </w:p>
    <w:p>
      <w:pPr>
        <w:pStyle w:val="Heading1"/>
      </w:pPr>
      <w:r>
        <w:t>ANHANG I STERILE PRODUKTE UND ASEPTISCHE HERSTELLUNG (Fortsetzung)</w:t>
      </w:r>
    </w:p>
    <w:p>
      <w:pPr>
        <w:pStyle w:val="Heading2"/>
      </w:pPr>
      <w:r>
        <w:t>Tabelle 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Tierarzneimittel DVO (EU) 2025-2091 GMP (3 von 7) Kap VIII-XI ZERTIFIZIERUNG UND CHARGENFREIGABE</dc:title>
  <dc:subject>Amtsblatt der EU, CELEX 32025R2091, https://eur-lex.europa.eu/legal-content/DE/TXT/?uri=CELEX:32025R2091</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