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(5 von 7) Anhang II-IV BIOLOGISCHE UND IMMUNOLOGISCHE, BESONDERE</w:t>
      </w:r>
    </w:p>
    <w:p>
      <w:r>
        <w:t>Quelle: Amtsblatt der EU, CELEX 32025R2091, https://eur-lex.europa.eu/legal-content/DE/TXT/?uri=CELEX:32025R2091</w:t>
      </w:r>
    </w:p>
    <w:p>
      <w:pPr>
        <w:pStyle w:val="Heading1"/>
      </w:pPr>
      <w:r>
        <w:t>ANHANG II BIOLOGISCHE UND IMMUNOLOGISCHE ARZNEIMITTEL</w:t>
      </w:r>
    </w:p>
    <w:p>
      <w:pPr>
        <w:pStyle w:val="Heading2"/>
      </w:pPr>
      <w:r>
        <w:t>I. ANWENDUNGSBEREICH</w:t>
      </w:r>
    </w:p>
    <w:p>
      <w:r>
        <w:t>Im gesamten Anhang ist die Bezugnahme auf „biologische Tierarzneimittel“ oder „biologische Arzneimittel“ so zu verstehen, dass auch immunologische Arzneimittel eingeschlossen sind.</w:t>
      </w:r>
    </w:p>
    <w:p>
      <w:pPr>
        <w:pStyle w:val="Heading2"/>
      </w:pPr>
      <w:r>
        <w:t>Tabelle 1</w:t>
      </w:r>
    </w:p>
    <w:p>
      <w:r>
        <w:rPr>
          <w:b/>
        </w:rPr>
        <w:t>Tabelle (zeilenweise wiedergegeben):</w:t>
      </w:r>
    </w:p>
    <w:p>
      <w:pPr>
        <w:pStyle w:val="ListBullet"/>
      </w:pPr>
      <w:r>
        <w:t>Art und Ursprung des Materials: Menschliche Quelle; Produktbeispiel: Aus Urin gewonnene Enzyme, Hormone; Unter diesen Anhang fallende Herstellungsschritte sind in grau dargestellt. Die GMP-Anforderungen nehmen von den ersten Schritten (z. B. Sammlung) bis zu den letzten Herstellungsschritten (Formulierung, Abfüllung) zu. Auf den niedrigeren Herstellungsstufen sind zumindest die GMP-Grundsätze einzuhalten.: Sammlung von Material.</w:t>
      </w:r>
    </w:p>
    <w:p>
      <w:pPr>
        <w:pStyle w:val="ListBullet"/>
      </w:pPr>
      <w:r>
        <w:t>Art und Ursprung des Materials: Tierische oder pflanzliche Quellen (nicht genetisch verändert/genomeditiert); Produktbeispiel: Heparine, Insulin, Enzyme, Proteine, Allergenextrakt, Inmunseren; Unter diesen Anhang fallende Herstellungsschritte sind in grau dargestellt. Die GMP-Anforderungen nehmen von den ersten Schritten (z. B. Sammlung) bis zu den letzten Herstellungsschritten (Formulierung, Abfüllung) zu. Auf den niedrigeren Herstellungsstufen sind zumindest die GMP-Grundsätze einzuhalten.: Sammlung von Material pflanzlichen oder tierischen Ursprungs.</w:t>
      </w:r>
    </w:p>
    <w:p>
      <w:pPr>
        <w:pStyle w:val="ListBullet"/>
      </w:pPr>
      <w:r>
        <w:t>Art und Ursprung des Materials: Viren oder Bakterien/Fermentation/Zellkultur usw.; Produktbeispiel: Virale oder bakterielle Impfstoffe; Enzyme, Proteine; Unter diesen Anhang fallende Herstellungsschritte sind in grau dargestellt. Die GMP-Anforderungen nehmen von den ersten Schritten (z. B. Sammlung) bis zu den letzten Herstellungsschritten (Formulierung, Abfüllung) zu. Auf den niedrigeren Herstellungsstufen sind zumindest die GMP-Grundsätze einzuhalten.: Einrichtung und Verwaltung von MCB, WCB, MSL, WSL.</w:t>
      </w:r>
    </w:p>
    <w:p>
      <w:pPr>
        <w:pStyle w:val="ListBullet"/>
      </w:pPr>
      <w:r>
        <w:t>Art und Ursprung des Materials: Biotechnologie – Fermentation/Zellkultur; Produktbeispiel: Rekombinante Arzneimittel, monoklonale Antikörper, Allergene, Impfstoffe; Unter diesen Anhang fallende Herstellungsschritte sind in grau dargestellt. Die GMP-Anforderungen nehmen von den ersten Schritten (z. B. Sammlung) bis zu den letzten Herstellungsschritten (Formulierung, Abfüllung) zu. Auf den niedrigeren Herstellungsstufen sind zumindest die GMP-Grundsätze einzuhalten.: Einrichtung und Verwaltung von MCB und WCB, MSL, WSL.</w:t>
      </w:r>
    </w:p>
    <w:p>
      <w:pPr>
        <w:pStyle w:val="ListBullet"/>
      </w:pPr>
      <w:r>
        <w:t>Art und Ursprung des Materials: Tierische Quellen (genetisch verändert/genomeditiert); Produktbeispiel: Rekombinante Proteine; Unter diesen Anhang fallende Herstellungsschritte sind in grau dargestellt. Die GMP-Anforderungen nehmen von den ersten Schritten (z. B. Sammlung) bis zu den letzten Herstellungsschritten (Formulierung, Abfüllung) zu. Auf den niedrigeren Herstellungsstufen sind zumindest die GMP-Grundsätze einzuhalten.: Masterzellbank und Arbeitszellbank (genetisch verändert/genomeditiert).</w:t>
      </w:r>
    </w:p>
    <w:p>
      <w:pPr>
        <w:pStyle w:val="ListBullet"/>
      </w:pPr>
      <w:r>
        <w:t>Art und Ursprung des Materials: Pflanzliche Quellen: (genetisch verändert/genomeditiert); Produktbeispiel: Rekombinante Proteine, Impfstoffe, Allergene; Unter diesen Anhang fallende Herstellungsschritte sind in grau dargestellt. Die GMP-Anforderungen nehmen von den ersten Schritten (z. B. Sammlung) bis zu den letzten Herstellungsschritten (Formulierung, Abfüllung) zu. Auf den niedrigeren Herstellungsstufen sind zumindest die GMP-Grundsätze einzuhalten.: Masterzellbank und Arbeitszellbank (genetisch verändert/genomeditiert).</w:t>
      </w:r>
    </w:p>
    <w:p>
      <w:pPr>
        <w:pStyle w:val="Heading2"/>
      </w:pPr>
      <w:r>
        <w:t>II. PERSONAL</w:t>
      </w:r>
    </w:p>
    <w:p>
      <w:pPr>
        <w:pStyle w:val="Heading2"/>
      </w:pPr>
      <w:r>
        <w:t>III. RÄUMLICHKEITEN UND AUSRÜSTUNG</w:t>
      </w:r>
    </w:p>
    <w:p>
      <w:pPr>
        <w:pStyle w:val="Heading2"/>
      </w:pPr>
      <w:r>
        <w:t>III.1. Räumlichkeiten</w:t>
      </w:r>
    </w:p>
    <w:p>
      <w:r>
        <w:t>a) Die Handhabung hochpathogener lebender biologischer Arbeitsstoffe hat in Containment-Bereichen zu erfolgen (dies gilt auch für Qualitätskontrolle, Forschungs- und Diagnose-Dienstleistungen usw.). Die Containment-Stufe muss an die Pathogenität des Arbeitsstoffs angepasst sein.</w:t>
      </w:r>
    </w:p>
    <w:p>
      <w:r>
        <w:t>b) Unbeschadet der unter Buchstabe a vorgesehenen Containment-Maßnahmen für bestimmte biologische Organismen kann die Herstellung biologischer Arbeitsstoffe in der Regel in kontrollierten Bereichen erfolgen, sofern sie in komplett geschlossener und sterilisierter Ausrüstung stattfindet und alle relevanten Verbindungen gemäß den Anforderungen des Anhangs I hergestellt werden.</w:t>
      </w:r>
    </w:p>
    <w:p>
      <w:r>
        <w:t>c) Die Handhabung inaktivierter biologischer Arbeitsstoffe hat in reinen Bereichen zu erfolgen. Reinraumbereiche sind auch für die Handhabung nicht infizierter, aus multizellulären Organismen gewonnener Zellen sowie gegebenenfalls sterilfiltrierter Medien zu verwenden.</w:t>
      </w:r>
    </w:p>
    <w:p>
      <w:r>
        <w:t>d) Prozessschritte im offenen Kreislauf, bei denen Produkte oder Bestandteile verwendet werden, die anschließend nicht sterilisiert werden, sind gegebenenfalls gemäß den Anforderungen des Anhangs I durchzuführen.</w:t>
      </w:r>
    </w:p>
    <w:p>
      <w:r>
        <w:t>e) Mit Ausnahme von Mischvorgängen und anschließenden Abfüllvorgängen soll in einem Bereich jeweils immer nur ein biologischer Arbeitsstoff gleichzeitig verarbeitet werden.</w:t>
      </w:r>
    </w:p>
    <w:p>
      <w:r>
        <w:t>f) Produktionsvorgänge wie z. B. Zellerhaltung, Medienaufbereitung, Virusanzüchtung usw., bei denen die Gefahr einer Kontamination besteht, sind in separaten Bereichen durchzuführen, es sei denn, es können geeignete organisatorische und technische Vorkehrungen getroffen werden, um eine Kontamination zu verhindern.</w:t>
      </w:r>
    </w:p>
    <w:p>
      <w:r>
        <w:t>g) Produktionsbereiche, in denen mit besonders desinfektionsresistenten biologischen Arbeitsstoffen (z. B. sporenbildenden Bakterien) gearbeitet wird, sind bis zur Inaktivierung der biologischen Arbeitsstoffe zu separieren, es sei denn, es können geeignete organisatorische und technische Vorkehrungen getroffen werden, um eine Kontamination zu verhindern.</w:t>
      </w:r>
    </w:p>
    <w:p>
      <w:pPr>
        <w:pStyle w:val="Heading2"/>
      </w:pPr>
      <w:r>
        <w:t>Containment</w:t>
      </w:r>
    </w:p>
    <w:p>
      <w:r>
        <w:t>a) Keine direkte Entlüftung nach außen.</w:t>
      </w:r>
    </w:p>
    <w:p>
      <w:r>
        <w:t>b) Unterdruckbelüftung: Die Luft muss durch HEPA-Filter abgesaugt werden und darf nur unter Verwendung weiterer HEPA-Filtration und ausschließlich in denselben Bereich rezirkuliert werden (grundsätzlich würde diese Bedingung erfüllt, wenn die rezirkulierte Luft durch die normalen Zufuhr-HEPA-Filter für diesen Bereich geleitet wird). Die Rezirkulierung von Luft zwischen Bereichen ist nur dann zulässig, wenn die Luft durch zwei Abluft-HEPA-Filter geleitet wird, von denen der erste kontinuierlich auf Funktionsfähigkeit überwacht wird, und angemessene Vorkehrungen zur sicheren Entlüftung im Falle seines Versagens bestehen.</w:t>
      </w:r>
    </w:p>
    <w:p>
      <w:r>
        <w:t>Werden bei der aseptischen Verarbeitung von Materialien mit besonderen Risiken für Containment-Zwecke Bereiche mit Unterdruck genutzt, so sind diese mit einem Überdruck-Reinraumbereich der geeigneten Reinheitsklasse (Blasenschleuse oder Sink-Schleuse) zu kombinieren. Diese Druckkaskaden sind klar zu definieren und unterliegen einer ständigen Überwachung mit geeigneten Alarmeinstellungen.</w:t>
      </w:r>
    </w:p>
    <w:p>
      <w:r>
        <w:t>c) Abweichend von Buchstabe b ist die Luft aus Produktionsbereichen, in denen exotische Organismen gehandhabt werden, durch zwei in Serie angeordnete HEPA-Filter zu entlüften, und Luft aus den Produktionsbereichen darf nicht rezirkuliert werden.</w:t>
      </w:r>
    </w:p>
    <w:p>
      <w:r>
        <w:t>d) Es ist ein System zum Sammeln und Desinfizieren flüssiger Ableitungen, einschließlich kontaminierten Kondensats aus Sterilisatoren, Biogeneratoren usw., einzurichten. Darüber hinaus sind feste Abfälle, einschließlich Tierkadavern, sachgemäß zu desinfizieren, zu sterilisieren bzw. zu verbrennen. Kontaminierte Filter sind auf sichere Art und Weise zu entfernen.</w:t>
      </w:r>
    </w:p>
    <w:p>
      <w:r>
        <w:t>e) Umkleideräume sind als Schleusen auszulegen und zu nutzen und müssen erforderlichenfalls über Wasch- und Duschmöglichkeiten verfügen. Luftdruckunterschiede sind so vorzusehen, dass kein Luftstrom zwischen dem Arbeitsbereich und der äußeren Umgebung entsteht und außerhalb des Arbeitsbereichs getragene Oberbekleidung nicht kontaminiert werden kann.</w:t>
      </w:r>
    </w:p>
    <w:p>
      <w:r>
        <w:t>f) Es ist ein Luftschleusensystem vorhanden, durch das Geräte hindurch passen und das so ausgelegt ist, dass keine kontaminierte Luft zwischen dem Arbeitsbereich und der äußeren Umgebung strömen kann und in der Luftschleuse kein Kontaminationsrisiko für die Geräte besteht. Die Luftschleuse muss groß genug sein, um eine wirksame Oberflächendekontamination der hindurchgeschleusten Materialien zu ermöglichen. Es ist ein Zeitmessgerät an den Schleusentüren in Erwägung zu ziehen, damit der Dekontaminationsprozess ausreichend Zeit erhält, um seine Wirkung zu entfalten.</w:t>
      </w:r>
    </w:p>
    <w:p>
      <w:r>
        <w:t>g) Gegebenenfalls ist zur sicheren Beseitigung von Abfallstoffen und zum Einbringen steriler Gegenstände ein Doppeltür-Autoklav zu verwenden.</w:t>
      </w:r>
    </w:p>
    <w:p>
      <w:pPr>
        <w:pStyle w:val="Heading2"/>
      </w:pPr>
      <w:r>
        <w:t>Mehrprodukt-Betriebsstätte</w:t>
      </w:r>
    </w:p>
    <w:p>
      <w:r>
        <w:t>— Maßnahmen zur Verhinderung einer Kreuzkontamination mit nicht zugehörigen Bereichen oder Ausrüstung (z. B. Einsatz von Materialien zum einmaligen Gebrauch und technische Maßnahmen wie geschlossene Systeme),</w:t>
      </w:r>
    </w:p>
    <w:p>
      <w:r>
        <w:t>— validierte Reinigungs- und Dekontaminationsverfahren vor der anschließenden Herstellung anderer Produkte (betrifft auch das Heiz-, Lüftungs- und Klimatisierungssystem (HLK-System),</w:t>
      </w:r>
    </w:p>
    <w:p>
      <w:r>
        <w:t>— Umgebungsüberwachung in angrenzenden Bereichen – während der Herstellung und nach Abschluss der Reinigung und Dekontamination –, speziell angepasst an den herzustellenden Mikroorganismus. Risiken, die sich aus dem Einsatz bestimmter Überwachungseinrichtungen (z. B. Luftpartikelüberwachung) in Bereichen ergeben, in denen lebende und/oder sporenbildende Organismen gehandhabt werden, sind gebührend zu berücksichtigen,</w:t>
      </w:r>
    </w:p>
    <w:p>
      <w:r>
        <w:t>— Kontrolle der Bewegung/Entfernung von Produkten, Ausrüstung, Hilfseinrichtungen (z. B. für die Kalibrierung und Validierung) und Einwegartikeln, um eine Kontamination anderer Bereiche, Produkte oder Produktstufen zu verhindern (z. B. Vermeidung der Kontamination von inaktivierten Arzneimitteln oder Toxoiden durch nicht inaktivierte Arzneimittel),</w:t>
      </w:r>
    </w:p>
    <w:p>
      <w:r>
        <w:t>— kampagnenbasierte Herstellung.</w:t>
      </w:r>
    </w:p>
    <w:p>
      <w:r>
        <w:t>Umfasst die Produktion die Herstellung mehrerer kleiner Chargen aus verschiedenen Ausgangsstoffen, so sind bei der Prüfung der Zulässigkeit der gleichzeitigen Herstellung Faktoren wie die Gesundheit der Spender und das Risiko eines vollständigen Verlusts zu berücksichtigen.</w:t>
      </w:r>
    </w:p>
    <w:p>
      <w:r>
        <w:t>Weitere Kontrollmaßnahmen für die Endverarbeitung können die Notwendigkeit spezifischer Zugabesequenzen, Mischgeschwindigkeiten, Zeit- und Temperatursteuerungen, Grenzwerte für die Lichtexposition sowie Eindämmungs- und Reinigungsverfahren bei Auslaufen oder Verschütten umfassen.</w:t>
      </w:r>
    </w:p>
    <w:p>
      <w:pPr>
        <w:pStyle w:val="Heading2"/>
      </w:pPr>
      <w:r>
        <w:t>III.2. Ausrüstung</w:t>
      </w:r>
    </w:p>
    <w:p>
      <w:r>
        <w:t>Besonderes Augenmerk ist auf Kontrollmaßnahmen zur Vermeidung von Kreuzkontamination durch nicht ortsfeste Ausrüstungsteile wie Rohrleitungen, Ventile und Filter zu richten (z. B. angemessene Kennzeichnung ihrer Funktion).</w:t>
      </w:r>
    </w:p>
    <w:p>
      <w:pPr>
        <w:pStyle w:val="Heading2"/>
      </w:pPr>
      <w:r>
        <w:t>IV. TIERE</w:t>
      </w:r>
    </w:p>
    <w:p>
      <w:r>
        <w:t>Die Verwendung von Tieren oder tierischem Material bei der Herstellung von Tierarzneimitteln unterliegt besonderen zusätzlichen Anforderungen:</w:t>
      </w:r>
    </w:p>
    <w:p>
      <w:r>
        <w:t>a) Biologische Stoffe und Arzneimittel müssen mit der neuesten Fassung der Leitlinien für die Minimierung des Risikos der Übertragung von Erregern der spongiformen Enzephalopathie tierischen Ursprungs durch Human- und Tierarzneimittel in Einklang stehen.</w:t>
      </w:r>
    </w:p>
    <w:p>
      <w:r>
        <w:t>b) Bei den Spezifikationen für Materialien tierischen Ursprungs sind gegebenenfalls Aspekte wie Alter, Gewicht und Gesundheitszustand der Tiere zu berücksichtigen; sie müssen den Zulassungsbedingungen entsprechen.</w:t>
      </w:r>
    </w:p>
    <w:p>
      <w:r>
        <w:t>c) Gegebenenfalls sind die Vorschriften des Arzneibuchs zu beachten, wie z. B. die Notwendigkeit spezifischer Testungen auf festgelegten Stufen.</w:t>
      </w:r>
    </w:p>
    <w:p>
      <w:r>
        <w:t>d) Es ist ein Gesundheitsprogramm zur Überwachung von Fremd-Agenzien von Belang (Zoonosen, Erkrankungen von Ursprungstieren) einzurichten. Bei der Einrichtung eines solchen Programms ist fachlicher Rat einzuholen. Insbesondere sind bei der Bewertung der Risiko- und Risikominderungsfaktoren Berichte aus vertrauenswürdigen Quellen über die nationale Prävalenz von Krankheiten zu berücksichtigen. Zu diesen Quellen gehören die Weltorganisation für Tiergesundheit (WOAH) sowie Informationen über Gesundheitsüberwachungs- und -kontrollsysteme auf nationaler und lokaler Ebene.</w:t>
      </w:r>
    </w:p>
    <w:p>
      <w:r>
        <w:t>e) Krankheitsfälle bei Ursprungs-/Spendertieren sind im Hinblick auf die Eignung dieser Tiere sowie die Eignung in Kontakt stehender Tiere für die weitere Verwendung (in der Herstellung, als Quelle für Ausgangs- und Rohstoffe, in der Qualitätskontrolle und bei Sicherheitsprüfungen) zu untersuchen. Die getroffenen Entscheidungen sind zu dokumentieren.</w:t>
      </w:r>
    </w:p>
    <w:p>
      <w:r>
        <w:t>Es ist ein Look-back-Verfahren einzurichten, das den Entscheidungsprozess über die fortbestehende Eignung des biologischen Wirkstoffs oder Arzneimittels, in welchem die Ausgangs- oder Rohstoffe tierischen Ursprungs verwendet oder integriert wurden, stützt. Dieser Entscheidungsprozess kann die wiederholte Prüfung von Rückstellungsproben desselben Spendertiers aus vorhergehender Gewinnung (falls zutreffend) umfassen, um die letzte Spende mit negativem Befund zu bestimmen.</w:t>
      </w:r>
    </w:p>
    <w:p>
      <w:r>
        <w:t>Wartezeiten für Therapeutika, die in der Behandlung der Ursprungs-/Spendertiere eingesetzt werden, sind zu dokumentieren und zu verwenden, um entsprechende Tiere für einen festgelegten Zeitraum aus dem Programm zu nehmen.</w:t>
      </w:r>
    </w:p>
    <w:p>
      <w:r>
        <w:t>f) Besondere Aufmerksamkeit gilt der Prävention und Überwachung von Infektionen bei den Ursprungs-/Spendertieren, wobei auch Aspekte betreffend die Gewinnung, den Betrieb, die Haltung, die Verfahren zum Schutz vor biologischen Gefahren, die Testverfahren oder die Kontrolle von Einstreu und Futtermittel-Materialien zu berücksichtigen sind. Dies ist von besonderer Bedeutung für spezifiziert pathogenfreie Tiere, bei denen die Anforderungen der PhEur-Monografie erfüllt sein müssen. Bei anderen Tierkategorien (z. B. gesunden Herden oder Beständen) sind Unterbringung und Gesundheitsüberwachung festzulegen.</w:t>
      </w:r>
    </w:p>
    <w:p>
      <w:r>
        <w:t>g) Bei Arzneimitteln, die aus genetisch veränderten oder genomeditierten Tieren hergestellt werden, muss bei der Erzeugung solcher Tiere die Rückverfolgbarkeit zu den Ursprungstieren gewährleistet sein.</w:t>
      </w:r>
    </w:p>
    <w:p>
      <w:r>
        <w:t>h) Unterbringungen für Tiere, die zur Herstellung und Kontrolle von biologischen Wirkstoffen und Arzneimitteln verwendet werden, müssen von den Produktions- und Kontrollbereichen getrennt sein. Für diese Unterbringungen sind geeignete Containment- und/oder Reinraum-Maßnahmen vorzusehen und sie müssen von anderen Tierunterbringungen getrennt sein. Es ist besonders wichtig zu gewährleisten, dass für Unterbringungen, in denen für die Qualitätskontrolle mit pathogenen biologischen Arbeitsstoffen verwendete Tiere untergebracht werden, geeignete Containment-Maßnahmen vorgesehen werden.</w:t>
      </w:r>
    </w:p>
    <w:p>
      <w:r>
        <w:t>i) In der Produktionsstätte sind die Tiere, die biologischen Arbeitsstoffe und die an ihnen durchgeführten Versuche ordnungsgemäß zu kennzeichnen, um jegliche Verwechslungsgefahr auszuschließen und alle ermittelten Gefahren zu beherrschen.</w:t>
      </w:r>
    </w:p>
    <w:p>
      <w:r>
        <w:t>j) Es sind geeignete Maßnahmen zu ergreifen, um die Qualität und Rückverfolgbarkeit von Material tierischen Ursprungs aus Schlachthöfen zu gewährleisten. Insbesondere sind in der Vereinbarung/dem Liefervertrag mit dem Schlachthof die erforderlichen Maßnahmen zur Gewährleistung der Rückverfolgbarkeit des bezogenen Materials sowie die Durchführung angemessener Hygiene- und anderer notwendiger Kontrollmaßnahmen im Schlachthof zu regeln.</w:t>
      </w:r>
    </w:p>
    <w:p>
      <w:r>
        <w:t>k) In der gesamten Lieferkette und beim Transport von Tieren oder tierischen Materialien, die für die Herstellung von Tierarzneimitteln verwendet werden, sind angemessene Kontrollen (nach den Grundsätzen des Qualitätsrisikomanagements) durchzuführen, einschließlich einer detaillierten Dokumentation zur Gewährleistung der Rückverfolgbarkeit. Die Rückverfolgbarkeit muss gewährleistet sein, einschließlich der Bewegung von Material zwischen den Orten der Sammlung, der teilweisen und abschließenden Reinigung, Lagereinrichtungen, Hubs, Sammelgutspediteuren und Maklern. Diese Vorkehrungen sind im Detail zu protokollieren und etwaige Verstöße sind aufzunehmen, zu untersuchen und zu beheben.</w:t>
      </w:r>
    </w:p>
    <w:p>
      <w:pPr>
        <w:pStyle w:val="Heading2"/>
      </w:pPr>
      <w:r>
        <w:t>V. AUSGANGS- UND ROHSTOFFE</w:t>
      </w:r>
    </w:p>
    <w:p>
      <w:r>
        <w:t>Informationen über die Gesundheit des Spenders (Mensch oder Tier), die sich auf die Qualität des Tierarzneimittels auswirken und die nach der Beschaffung erlangt werden, sind bei Rückrufverfahren zu berücksichtigen.</w:t>
      </w:r>
    </w:p>
    <w:p>
      <w:pPr>
        <w:pStyle w:val="Heading2"/>
      </w:pPr>
      <w:r>
        <w:t>VI. SAATGUT UND ZELLBANKSYSTEM</w:t>
      </w:r>
    </w:p>
    <w:p>
      <w:pPr>
        <w:pStyle w:val="Heading2"/>
      </w:pPr>
      <w:r>
        <w:t>VII. PRODUKTION</w:t>
      </w:r>
    </w:p>
    <w:p>
      <w:r>
        <w:t>a) Bei aseptischen Prozessen sollen hitzebeständige Gegenstände und Materialien vorzugsweise durch einen doppelseitigen Autoklav oder einen doppelseitigen Ofen in Reinraum-/Containment-Bereiche eingeführt werden. Hitzeunbeständige Gegenstände und Materialien sind durch eine Luftschleuse mit verriegelten Türen, in der sie einem wirksamen Oberflächendesinfektionsverfahren unterzogen werden, einzuführen. Eine Sterilisation von Gegenständen und Materialien kann an anderer Stelle erfolgen, sofern mehrere Umhüllungen genutzt werden (soweit erforderlich, in der Anzahl der Zugangsstufen in den reinen Bereich) und beim Eintritt durch eine Schleuse angemessene Oberflächendesinfektionsmaßnahmen erfolgen.</w:t>
      </w:r>
    </w:p>
    <w:p>
      <w:r>
        <w:t>b) Geräte, Glasgeräte sowie die äußeren Oberflächen von Produktbehältern und ähnlichen Materialien sind vor dem Transfer aus einem Containment-Bereich heraus mithilfe eines validierten Verfahrens zu desinfizieren. Nur das absolut erforderliche Minimum an Materialien darf in den Bereich ein- und aus dem Bereich herausgeführt werden.</w:t>
      </w:r>
    </w:p>
    <w:p>
      <w:r>
        <w:t>c) Flüssige oder feste Abfälle wie z. B. Feststoffe, die bei der Verwendung von Eiern zurückbleiben, Nährmedienflaschen zum einmaligen Gebrauch, unerwünschte Kulturen oder biologische Arbeitsstoffe sind möglichst vor dem Transfer aus einem Containment-Bereich heraus zu sterilisieren oder zu desinfizieren. Jedoch können sich in manchen Fällen auch Alternativen wie versiegelte Behälter oder Leitungen anbieten.</w:t>
      </w:r>
    </w:p>
    <w:p>
      <w:r>
        <w:t>d) Soweit relevante/kritische Rohstoffe (z. B. Nährmedien und Puffer) während des Herstellungsprozesses gemessen oder gewogen werden müssen (z. B. aufgrund von Bedenken hinsichtlich der Variabilität), können kleine Bestände dieser Rohstoffe für eine bestimmte Dauer auf der Grundlage festgelegter Kriterien (z. B. für die Dauer der Herstellung der Charge oder der Kampagne) im Herstellungsbereich aufbewahrt werden.</w:t>
      </w:r>
    </w:p>
    <w:p>
      <w:pPr>
        <w:pStyle w:val="Heading2"/>
      </w:pPr>
      <w:r>
        <w:t>VIII. QUALITÄTSKONTROLLE</w:t>
      </w:r>
    </w:p>
    <w:p>
      <w:r>
        <w:t>Ist eine Prüfung der Fertigprodukte aufgrund ihrer kurzen Haltbarkeit nicht möglich, so können alternative Methoden zur Gewinnung gleichwertiger Daten in Betracht gezogen werden, um eine Zertifizierung der ersten Charge zu ermöglichen (z. B. mikrobiologische Schnelltests). Das Verfahren für die Chargenzertifizierung und -freigabe kann in zwei oder mehr Schritten durchgeführt werden:</w:t>
      </w:r>
    </w:p>
    <w:p>
      <w:r>
        <w:t>— Bewertung (durch eine benannte Person) der Chargenverarbeitungsprotokolle, der Ergebnisse der Umgebungsüberwachung (sofern verfügbar), aller Abweichungen von den Standardverfahren und der verfügbaren Analyseergebnisse,</w:t>
      </w:r>
    </w:p>
    <w:p>
      <w:r>
        <w:t>— Bewertung der abschließenden analytischen Tests und anderer für die endgültige Zertifizierung durch die qualifizierte Person verfügbarer Informationen. Es muss ein Verfahren mit Beschreibung der Maßnahmen, die zu ergreifen sind, wenn die Testergebnisse außerhalb der Spezifikation liegen, bestehen. Solche Ereignisse sind umfassend zu untersuchen und die entsprechenden Korrektur- und Präventivmaßnahmen zur Vermeidung ihres erneuten Auftretens zu dokumentieren.</w:t>
      </w:r>
    </w:p>
    <w:p>
      <w:pPr>
        <w:pStyle w:val="Heading2"/>
      </w:pPr>
      <w:r>
        <w:t>IX. SPEZIFISCHE ANFORDERUNGEN FÜR AUSGEWÄHLTE ARZNEIMITTELTYPEN</w:t>
      </w:r>
    </w:p>
    <w:p>
      <w:pPr>
        <w:pStyle w:val="Heading2"/>
      </w:pPr>
      <w:r>
        <w:t>IX.1. Allergenpräparate</w:t>
      </w:r>
    </w:p>
    <w:p>
      <w:r>
        <w:t>Für Allergenpräparate gelten folgende zusätzliche Anforderungen:</w:t>
      </w:r>
    </w:p>
    <w:p>
      <w:r>
        <w:t>a) Die Ausgangsstoffe sind hinreichend detailliert zu beschreiben, damit in der Beschaffung Konsistenz gewährleistet ist, z. B. allgemeine und wissenschaftliche Bezeichnung, Herkunft, Art, Grenzwerte für Kontaminanten, Art der Sammlung. Von Tieren gewonnenes Material muss aus gesunden Quellen stammen. Für Kolonien (z. B. Milben, Tiere), die zur Gewinnung von Allergenen verwendet werden, sind geeignete Biosicherheitskontrollen vorzusehen. Allergenpräparate sind unter festgelegten Bedingungen zu lagern, damit sich ihr Zustand möglichst nicht verschlechtert.</w:t>
      </w:r>
    </w:p>
    <w:p>
      <w:r>
        <w:t>b) Die Herstellungsschritte, einschließlich Vorbehandlung, Extraktion, Filtration, Dialyse, Konzentrierung oder Gefriertrocknung, sind detailliert zu beschreiben und zu validieren.</w:t>
      </w:r>
    </w:p>
    <w:p>
      <w:r>
        <w:t>c) Die Modifizierungsprozesse zur Herstellung modifizierter Allergenextrakte (z. B. Allergoide, Konjugate) sind zu beschreiben. Zwischenprodukte im Herstellungsprozess sind ebenfalls zu ermitteln und zu kontrollieren.</w:t>
      </w:r>
    </w:p>
    <w:p>
      <w:r>
        <w:t>d) Mischungen von Allergenextrakten sind aus Einzelextrakten aus Ausgangsstoffen, die von einer Quelle stammen, herzustellen. Jeder Einzelextrakt ist als einzelner Wirkstoff zu betrachten.</w:t>
      </w:r>
    </w:p>
    <w:p>
      <w:r>
        <w:t>Für rekombinante Allergene gelten ferner die zusätzlichen Anforderungen des Abschnitts IV.4.</w:t>
      </w:r>
    </w:p>
    <w:p>
      <w:pPr>
        <w:pStyle w:val="Heading2"/>
      </w:pPr>
      <w:r>
        <w:t>IX.2. Immunseren tierischen Ursprungs</w:t>
      </w:r>
    </w:p>
    <w:p>
      <w:r>
        <w:t>Für Immunseren tierischen Ursprungs gelten folgende zusätzliche Anforderungen:</w:t>
      </w:r>
    </w:p>
    <w:p>
      <w:r>
        <w:t>a) Besondere Sorgfalt gilt der Kontrolle von Antigenen biologischen Ursprungs, um ihre Qualität, Konsistenz und Nichtkontamination durch Fremd-Agenzien zu gewährleisten. Die Vorbereitung der zur Immunisierung der Ursprungstiere verwendeten Stoffe (z. B. Antigene, Haptene, Hilfsstoffe, Stabilisatoren) sowie die Lagerbedingungen für diese Materialien unmittelbar vor der Immunisierung müssen den dokumentierten Verfahren entsprechen.</w:t>
      </w:r>
    </w:p>
    <w:p>
      <w:r>
        <w:t>b) Die Immunisierungs-, „Test-Bleed“- und „Harvest-Bleed“-Pläne müssen den Zulassungsbedingungen entsprechen.</w:t>
      </w:r>
    </w:p>
    <w:p>
      <w:r>
        <w:t>c) Die Bedingungen für die Herstellung von Antikörper-Subfragmenten (z. B. Fab oder F(ab’)2) und alle weiteren Modifikationen müssen den validierten Parametern entsprechen. Bestehen solche Enzyme aus mehreren Bestandteilen, so muss ihre Konsistenz gewährleistet sein.</w:t>
      </w:r>
    </w:p>
    <w:p>
      <w:pPr>
        <w:pStyle w:val="Heading2"/>
      </w:pPr>
      <w:r>
        <w:t>IX.3. Impfstoffe</w:t>
      </w:r>
    </w:p>
    <w:p>
      <w:r>
        <w:t>Für Impfstoffe gelten folgende zusätzliche Anforderungen:</w:t>
      </w:r>
    </w:p>
    <w:p>
      <w:r>
        <w:t>a) Bei der Verwendung von Eiern muss der Gesundheitszustand aller bei der Erzeugung der Eier verwendeten Ursprungsbestände (unabhängig davon, ob es sich um spezifiziert pathogenfreie oder gesunde Bestände handelt) gewährleistet sein.</w:t>
      </w:r>
    </w:p>
    <w:p>
      <w:r>
        <w:t>b) Die Unversehrtheit der für die Lagerung von Zwischenprodukten verwendeten Behälter und die Lagerungszeiten sind zu validieren.</w:t>
      </w:r>
    </w:p>
    <w:p>
      <w:r>
        <w:t>c) Die Reihenfolge der Zugabe von Wirk-, Zusatz- und Hilfsstoffen bei der Formulierung eines Zwischen- oder Fertigprodukts muss den Spezifikationen entsprechen.</w:t>
      </w:r>
    </w:p>
    <w:p>
      <w:r>
        <w:t>d) Umfasst die Herstellung oder Prüfung die Handhabung von Organismen einer höheren biologischen Sicherheitsstufe (z. B. panzootische Impfstoffstämme), so sind geeignete Containment-Maßnahmen zu ergreifen, die den einschlägigen nationalen Anforderungen entsprechen. Zum Zweck der Überprüfung müssen entsprechende Genehmigungen vorliegen.</w:t>
      </w:r>
    </w:p>
    <w:p>
      <w:pPr>
        <w:pStyle w:val="Heading2"/>
      </w:pPr>
      <w:r>
        <w:t>IX.4. Rekombinante Arzneimittel</w:t>
      </w:r>
    </w:p>
    <w:p>
      <w:r>
        <w:t>Für rekombinante Arzneimittel gelten folgende zusätzliche Anforderungen:</w:t>
      </w:r>
    </w:p>
    <w:p>
      <w:r>
        <w:t>a) Die Prozessbedingungen während des Zellwachstums, der Proteinexpression und der Aufreinigung müssen den validierten Parametern entsprechen, um eine einheitliche Produktion mit festgelegter Verunreinigungsspanne zu gewährleisten. Je nach bei der Herstellung verwendetem Zelltyp können zusätzliche Maßnahmen erforderlich sein, um die virale Unbedenklichkeit zu gewährleisten. Umfasst der Herstellungsprozess mehrere Entnahmen, so muss die Zeitspanne der Dauerkultivierung innerhalb bestimmter Grenzen liegen.</w:t>
      </w:r>
    </w:p>
    <w:p>
      <w:r>
        <w:t>b) Die Aufreinigungsprozesse zur Entfernung von unerwünschten Proteinen der Wirtszelle, Nukleinsäuren, Kohlenhydrate, Viren und anderen Verunreinigungen müssen innerhalb festgelegter validierter Grenzen erfolgen.</w:t>
      </w:r>
    </w:p>
    <w:p>
      <w:pPr>
        <w:pStyle w:val="Heading2"/>
      </w:pPr>
      <w:r>
        <w:t>IX.5. Monoklonale Antikörperpräparate</w:t>
      </w:r>
    </w:p>
    <w:p>
      <w:r>
        <w:t>Für monoklonale Antikörperpräparate gelten folgende zusätzliche Anforderungen:</w:t>
      </w:r>
    </w:p>
    <w:p>
      <w:r>
        <w:t>a) Monoklonale Antikörper können aus Hybridomen oder mit der Technologie der rekombinierten DNS hergestellt werden. Um die Sicherheit und Qualität des Präparats zu gewährleisten, sind geeignete Kontrollmaßnahmen für die verschiedenen Ausgangszellen (einschließlich etwaiger Feederzellen) und Materialien, die zur Bestimmung der Hybridome/der Zelllinie verwendet werden, vorzusehen. Es muss überprüft werden, ob diese innerhalb der genehmigten Grenzwerte liegen. Die virale Unbedenklichkeit ist besonders wichtig. Daten, die von Produkten stammen, die über dieselbe Herstellungstechnologieplattform erzeugt werden, können zum Nachweis der Eignung akzeptiert werden.</w:t>
      </w:r>
    </w:p>
    <w:p>
      <w:r>
        <w:t>b) Herstellungs- und Produktparameter am Ende eines Produktionszyklus (z. B. Temperatur, Ph-Wert, Dichte, Sauerstoff, Zellviabilität usw.) und für die vorzeitige Beendigung von Produktionszyklen sind festzulegen und zu überwachen.</w:t>
      </w:r>
    </w:p>
    <w:p>
      <w:r>
        <w:t>c) Die Bedingungen für die Herstellung von Antikörper-Subfragmenten (z. B. Fab, F(ab’)2 oder scFv) und alle weiteren Modifikationen (z. B. radioaktive Markierung, Konjugation, chemische Verknüpfung) müssen den validierten Parametern entsprechen.</w:t>
      </w:r>
    </w:p>
    <w:p>
      <w:pPr>
        <w:pStyle w:val="Heading2"/>
      </w:pPr>
      <w:r>
        <w:t>IX.6. Aus genetisch veränderten/genomeditierten Tieren hergestellte Tierarzneimittel</w:t>
      </w:r>
    </w:p>
    <w:p>
      <w:r>
        <w:t>Für aus genetisch veränderten/genomeditierten Tieren hergestellte Tierarzneimittel gelten folgende zusätzliche Anforderungen:</w:t>
      </w:r>
    </w:p>
    <w:p>
      <w:r>
        <w:t>a) Die für die Herstellung verwendeten Tiere sind klar und eindeutig zu kennzeichnen, und es sind Vorkehrungen für den Fall des Verlusts der Primärkennzeichnung zu treffen.</w:t>
      </w:r>
    </w:p>
    <w:p>
      <w:r>
        <w:t>b) Die Genalogie der Gründertiere bis hin zu den Produktionstieren ist zu dokumentieren. Da die genetisch veränderte/genomeditierte Linie von einem einzigen genetischen Gründertier abstammt, dürfen Materialien von verschiedenen genetisch veränderten/genomeditierten Linien nicht vermischt werden.</w:t>
      </w:r>
    </w:p>
    <w:p>
      <w:r>
        <w:t>c) Die Bedingungen, unter denen das Produkt entnommen wird, müssen den Zulassungsbedingungen entsprechen. Der Entnahmeplan und die Bedingungen, unter denen Tiere unter Umständen aus der Produktion entfernt werden, müssen den genehmigten Verfahren und Akzeptanzgrenzen entsprechen.</w:t>
      </w:r>
    </w:p>
    <w:p>
      <w:r>
        <w:t>d) Besondere Aufmerksamkeit gilt dem Nachweis der gleichbleibenden Qualität der Chargen.</w:t>
      </w:r>
    </w:p>
    <w:p>
      <w:pPr>
        <w:pStyle w:val="Heading2"/>
      </w:pPr>
      <w:r>
        <w:t>IX.7. Aus genetisch veränderten/genomeditierten Pflanzen hergestellte Tierarzneimittel</w:t>
      </w:r>
    </w:p>
    <w:p>
      <w:r>
        <w:t>Für aus genetisch veränderten/genomeditierten Pflanzen hergestellte Tierarzneimittel gelten folgende zusätzliche Anforderungen:</w:t>
      </w:r>
    </w:p>
    <w:p>
      <w:r>
        <w:t>a) Es können zusätzliche spezifische Maßnahmen erforderlich sein, um eine Kontamination der Master- und Arbeitsbanken für genetisch veränderte/genomeditierte Pflanzen durch pflanzliche Fremdstoffe und relevante Fremd-Agenzien zu verhindern. Die Stabilität des Gens innerhalb der festgelegten Anzahl Generationen ist zu überwachen.</w:t>
      </w:r>
    </w:p>
    <w:p>
      <w:r>
        <w:t>b) Die Pflanzen sind klar und eindeutig zu kennzeichnen, und das Vorhandensein wichtiger Pflanzenmerkmale, einschließlich des Gesundheitszustands, ist während der gesamten Kulturzeit in festgelegten Zeitabständen zu überprüfen, um gleichbleibende Erträge zwischen den Kulturen zu gewährleisten.</w:t>
      </w:r>
    </w:p>
    <w:p>
      <w:r>
        <w:t>c) Nach Möglichkeit sind Vorkehrungen zum Schutz der Kulturen vorzusehen, um das Risiko einer Kontamination durch Exposition gegenüber mikrobiologischen Erregern und einer Kreuzkontamination mit nicht zugehörigen Pflanzen so gering wie möglich zu halten. Es sind Maßnahmen zu ergreifen, um zu verhindern, dass Stoffe wie Pestizide und Düngemittel das Produkt verunreinigen. Es ist ein Überwachungsprogramm einzurichten und alle Ergebnisse sind zu dokumentieren. Jeder Vorfall ist zu untersuchen und es sind seine Auswirkungen auf die Fortführung der Kultur im Produktionsprogramm zu bestimmen.</w:t>
      </w:r>
    </w:p>
    <w:p>
      <w:r>
        <w:t>d) Es sind Bedingungen festzulegen, unter denen Pflanzen aus der Produktion herausgenommen werden können. Für Materialien (z. B. Proteine von Wirtszellen), die den Aufreinigungsprozess beeinträchtigen können, sind Akzeptanzgrenzen festzulegen. Es muss überprüft werden, ob die Ergebnisse innerhalb der zulässigen Grenzwerte liegen.</w:t>
      </w:r>
    </w:p>
    <w:p>
      <w:r>
        <w:t>e) Umgebungsbedingungen (Temperatur, Regen), die die Qualitätsmerkmale und den Ertrag des rekombinanten Proteins von der Aussaat über den Anbau bis zur Ernte und Zwischenlagerung des geernteten Materials beeinflussen können, sind zu dokumentieren. Bei der Ausarbeitung solcher Bedingungen sind die Grundsätze in Dokumenten wie der „Guideline on Good Agricultural and Collection Practice for Starting Materials of Herbal Origin“ (Leitlinie der guten Anbau- und Sammelpraxis für Ausgangsstoffe pflanzlichen Ursprungs) zu berücksichtigen.</w:t>
      </w:r>
    </w:p>
    <w:p>
      <w:r>
        <w:t>f) Besondere Aufmerksamkeit ist auf den Nachweis der gleichbleibenden Qualität der Chargen zu richten.</w:t>
      </w:r>
    </w:p>
    <w:p>
      <w:pPr>
        <w:pStyle w:val="Heading1"/>
      </w:pPr>
      <w:r>
        <w:t>ANHANG III BESONDERE ANFORDERUNGEN FÜR BESTIMMTE TIERARZNEIMITTEL</w:t>
      </w:r>
    </w:p>
    <w:p>
      <w:r>
        <w:t>Dieser Anhang enthält zusätzliche Anforderungen und spezifische Anpassungen der in dieser Verordnung festgelegten Anforderungen, die für bestimmte Arten von Tierarzneimitteln gelten.</w:t>
      </w:r>
    </w:p>
    <w:p>
      <w:r>
        <w:t>Sofern nicht anders angegeben, gelten die Vorschriften dieses Anhangs zusätzlich zu den Vorschriften der Verordnung. Im Konfliktfall haben die besonderen Anforderungen dieses Anhangs Vorrang.</w:t>
      </w:r>
    </w:p>
    <w:p>
      <w:pPr>
        <w:pStyle w:val="Heading2"/>
      </w:pPr>
      <w:r>
        <w:t>I. PFLANZLICHE TIERARZNEIMITTEL</w:t>
      </w:r>
    </w:p>
    <w:p>
      <w:pPr>
        <w:pStyle w:val="Heading2"/>
      </w:pPr>
      <w:r>
        <w:t>Tabelle 1</w:t>
      </w:r>
    </w:p>
    <w:p>
      <w:r>
        <w:rPr>
          <w:b/>
        </w:rPr>
        <w:t>Tabelle (zeilenweise wiedergegeben):</w:t>
      </w:r>
    </w:p>
    <w:p>
      <w:pPr>
        <w:pStyle w:val="ListBullet"/>
      </w:pPr>
      <w:r>
        <w:t>Tätigkeit: Anbau, Sammeln und Ernte von Pflanzen, Algen, Pilzen und Flechten sowie Gewinnung von Ausscheidungen/Absonderungen; Gute Anbau- und Sammelpraxis: Zutreffend.</w:t>
      </w:r>
    </w:p>
    <w:p>
      <w:pPr>
        <w:pStyle w:val="ListBullet"/>
      </w:pPr>
      <w:r>
        <w:t>Tätigkeit: Zerschneiden und Trocknen von Pflanzen, Algen, Pilzen, Flechten und Ausscheidungen/Absonderungen; Gute Anbau- und Sammelpraxis: Zutreffend; GMP für Wirkstoffe, die bei der Herstellung von Tierarzneimitteln verwendet werden, bzw. GMP für Tierarzneimittel: Zutreffend.</w:t>
      </w:r>
    </w:p>
    <w:p>
      <w:pPr>
        <w:pStyle w:val="ListBullet"/>
      </w:pPr>
      <w:r>
        <w:t>Tätigkeit: Auspressen von Pflanzen und Destillation; GMP für Wirkstoffe, die bei der Herstellung von Tierarzneimitteln verwendet werden, bzw. GMP für Tierarzneimittel: Zutreffend.</w:t>
      </w:r>
    </w:p>
    <w:p>
      <w:pPr>
        <w:pStyle w:val="ListBullet"/>
      </w:pPr>
      <w:r>
        <w:t>Tätigkeit: Zerkleinerung, Verarbeitung von Ausscheidungen/Absonderungen, Extraktion aus Pflanzen, Fraktionierung, Aufreinigung, Konzentrierung oder Fermentation pflanzlicher Stoffe; GMP für Wirkstoffe, die bei der Herstellung von Tierarzneimitteln verwendet werden, bzw. GMP für Tierarzneimittel: Zutreffend.</w:t>
      </w:r>
    </w:p>
    <w:p>
      <w:pPr>
        <w:pStyle w:val="ListBullet"/>
      </w:pPr>
      <w:r>
        <w:t>Tätigkeit: Weiterverarbeitung in eine Darreichungsform, einschließlich Verpackung als fertiges Tierarzneimittel; GMP für Tierarzneimittel: Zutreffend.</w:t>
      </w:r>
    </w:p>
    <w:p>
      <w:r>
        <w:t>a) Die Spezifikationen werden in Übereinstimmung mit der Zulassung festgelegt und umfassen Folgendes:</w:t>
      </w:r>
    </w:p>
    <w:p>
      <w:r>
        <w:t>— binomischer wissenschaftlicher Name der Pflanze (Gattung, Art, Unterart/Sorte und Autor (z. B. Linné); soweit angebracht, sind auch andere relevante Informationen wie der Name des Züchters und der Chemotyp anzugeben;</w:t>
      </w:r>
    </w:p>
    <w:p>
      <w:r>
        <w:t>— Angaben zur Herkunft der Pflanze (Herkunftsland oder -region und gegebenenfalls Anbau, Zeitpunkt der Ernte, Sammlungsverfahren, eventuell verwendete Pestizide, mögliche radioaktive Kontamination usw.);</w:t>
      </w:r>
    </w:p>
    <w:p>
      <w:r>
        <w:t>— welche(r) Pflanzenteil(e) verwendet wird/werden;</w:t>
      </w:r>
    </w:p>
    <w:p>
      <w:r>
        <w:t>— bei Verwendung von getrocknetem Pflanzenmaterial, Angabe des Trocknungsverfahrens;</w:t>
      </w:r>
    </w:p>
    <w:p>
      <w:r>
        <w:t>— Beschreibung des pflanzlichen Stoffes und seiner makroskopischen und mikroskopischen Untersuchung;</w:t>
      </w:r>
    </w:p>
    <w:p>
      <w:r>
        <w:t>— geeignete Identitätsprüfungen, gegebenenfalls solche auf Bestandteile mit bekannter therapeutischer Wirksamkeit oder Leitsubstanzen. Spezifische Unterscheidungstests sind erforderlich, wenn damit zu rechnen ist, dass ein pflanzlicher Stoff verfälscht bzw. ersetzt wird. Zu Identifizierungszwecken muss eine authentische Referenzprobe zur Verfügung stehen;</w:t>
      </w:r>
    </w:p>
    <w:p>
      <w:r>
        <w:t>— Wassergehalt pflanzlicher Stoffe, der gemäß dem Europäischen Arzneibuch zu bestimmen ist;</w:t>
      </w:r>
    </w:p>
    <w:p>
      <w:r>
        <w:t>— Gehalt der Bestandteile mit bekannter therapeutischer Wirksamkeit oder gegebenenfalls der Leitsubstanzen;</w:t>
      </w:r>
    </w:p>
    <w:p>
      <w:r>
        <w:t>— Methoden zur Bestimmung einer möglichen Pestizidkontamination und die zulässigen Grenzwerte in Übereinstimmung mit den Methoden des Europäischen Arzneibuchs oder, sofern nicht vorhanden, mit einem geeigneten validierten Verfahren, sofern nichts anderes bestimmt wird;</w:t>
      </w:r>
    </w:p>
    <w:p>
      <w:r>
        <w:t>— Untersuchungen zur Bestimmung einer Pilzkontamination und/oder mikrobiellen Kontamination, einschließlich Aflatoxine, anderer Pilztoxine, Schädlingsbefall, und zulässige Grenzwerte, soweit angebracht;</w:t>
      </w:r>
    </w:p>
    <w:p>
      <w:r>
        <w:t>— Prüfungen auf toxische Metalle sowie auf mögliche Kontaminanten und Verfälschungen, soweit angebracht;</w:t>
      </w:r>
    </w:p>
    <w:p>
      <w:r>
        <w:t>— Prüfungen auf Fremdstoffe, soweit angebracht;</w:t>
      </w:r>
    </w:p>
    <w:p>
      <w:r>
        <w:t>— weitere zusätzliche Prüfungen gemäß der allgemeinen Monografie des Europäischen Arzneibuchs zu pflanzlichen Stoffen oder nach speziellen Monografien pflanzlicher Stoffe, soweit angebracht.</w:t>
      </w:r>
    </w:p>
    <w:p>
      <w:r>
        <w:t>Jede Behandlung zur Verminderung der Kontamination mit Pilzen oder Mikroben oder eines anderen Befalls ist anzugeben.</w:t>
      </w:r>
    </w:p>
    <w:p>
      <w:r>
        <w:t>Die Spezifikationen müssen, soweit erforderlich, Einzelheiten zu Verfahren, Prüfungen und Grenzwerten für Rückstände enthalten.</w:t>
      </w:r>
    </w:p>
    <w:p>
      <w:r>
        <w:t>b) Die Lieferanten pflanzlicher Materialien müssen sich an die gute Anbau- und Sammelpraxis halten. Die Lieferanten werden vom Hersteller des pflanzlichen Tierarzneimittels nach den Grundsätzen des Qualitätsrisikomanagements geprüft. Solche Prüfungen können ausgelagert werden.</w:t>
      </w:r>
    </w:p>
    <w:p>
      <w:r>
        <w:t>a) Es sind wirksame Maßnahmen zu treffen, um die Ausbreitung von Insekten, sonstigen Tieren oder Mikroorganismen zu verhindern, die mit dem pflanzlichen Stoff eingeschleppt werden, um Fermentation oder Schimmelwachstum und eine Kreuzkontamination zu verhindern. Für die Quarantäne eintreffender pflanzlicher Stoffe und für die zugelassenen pflanzlichen Stoffe sind getrennte geschlossene Bereiche vorzusehen;</w:t>
      </w:r>
    </w:p>
    <w:p>
      <w:r>
        <w:t>b) die Lagerbereiche müssen gut belüftet und die Behälter so angeordnet sein, dass eine ungehinderte Luftzirkulation gewährleistet ist;</w:t>
      </w:r>
    </w:p>
    <w:p>
      <w:r>
        <w:t>c) erforderlichenfalls sind besondere Feuchtigkeits-, Temperatur- oder Lichtschutzbedingungen festzulegen und zu überwachen.</w:t>
      </w:r>
    </w:p>
    <w:p>
      <w:r>
        <w:t>In den Verarbeitungsanweisungen sind auch Sicherheitssiebverfahren oder andere Methoden zur Entfernung von Fremdkörpern sowie geeignete Verfahren für die Reinigung bzw. das Sortieren des Pflanzenmaterials vor der Lagerung des zugelassenen pflanzlichen Stoffes oder vor Beginn der Herstellung zu beschreiben.</w:t>
      </w:r>
    </w:p>
    <w:p>
      <w:r>
        <w:t>Für die Produktion einer pflanzlichen Zubereitung müssen die Anweisungen Angaben zum Lösungsmittel, zur Dauer und Temperatur der Extraktion sowie zu etwaigen Konzentrierungsschritten und -verfahren enthalten.</w:t>
      </w:r>
    </w:p>
    <w:p>
      <w:r>
        <w:t>a) Jede Charge wird durch eine eigene Dokumentation identifiziert;</w:t>
      </w:r>
    </w:p>
    <w:p>
      <w:r>
        <w:t>b) eine Referenzprobe des Pflanzenmaterials ist erforderlich, insbesondere in den Fällen, in denen der pflanzliche Stoff nicht im Europäischen Arzneibuch oder in einem Arzneibuch eines anderen Mitgliedstaats beschrieben ist. Bei Verwendung von Pulvern werden Proben des ungemahlenen Pflanzenmaterials benötigt.</w:t>
      </w:r>
    </w:p>
    <w:p>
      <w:pPr>
        <w:pStyle w:val="Heading2"/>
      </w:pPr>
      <w:r>
        <w:t>II. ZUR HERSTELLUNG VON FÜTTERUNGSARZNEIMITTELN BESTIMMTE TIERARZNEIMITTEL</w:t>
      </w:r>
    </w:p>
    <w:p>
      <w:pPr>
        <w:pStyle w:val="Heading2"/>
      </w:pPr>
      <w:r>
        <w:t>III. TIERARZNEIMITTEL GEGEN EKTOPARASITEN</w:t>
      </w:r>
    </w:p>
    <w:p>
      <w:r>
        <w:t>Tierarzneimittel gegen Ektoparasiten zur äußeren Anwendung können kampagnenweise in pestizidspezifischen Bereichen hergestellt und abgefüllt werden. Andere Kategorien von Tierarzneimitteln dürfen in diesen Bereichen jedoch nicht hergestellt werden.</w:t>
      </w:r>
    </w:p>
    <w:p>
      <w:pPr>
        <w:pStyle w:val="Heading2"/>
      </w:pPr>
      <w:r>
        <w:t>IV. LIQUIDA, CREMES UND SALBEN</w:t>
      </w:r>
    </w:p>
    <w:p>
      <w:r>
        <w:t>Da Liquida, Cremes und Salben während der Herstellung besonders anfällig für mikrobielle und andere Verunreinigungen sein können, sind folgende Maßnahmen in Betracht zu ziehen:</w:t>
      </w:r>
    </w:p>
    <w:p>
      <w:r>
        <w:t>a) Es wird empfohlen, geschlossene Systeme für Verarbeitung und Beförderung zu verwenden. In Fällen, in denen die Produkte oder offene gereinigte Behälter der Umgebungsluft ausgesetzt sind, ist eine wirksame Belüftung mit gefilterter Luft vorzusehen;</w:t>
      </w:r>
    </w:p>
    <w:p>
      <w:r>
        <w:t>b) Tanks, Behälter, Rohrleitungen und Pumpen müssen so ausgelegt und installiert sein, dass sie leicht zu reinigen sind. Die Ausrüstung muss insbesondere möglichst wenige Toträume oder sonstige Stellen aufweisen, in denen sich Rückstände ansammeln und zu einer mikrobiellen Vermehrung führen können;</w:t>
      </w:r>
    </w:p>
    <w:p>
      <w:r>
        <w:t>c) die Verwendung von Glasgerätschaften ist nach Möglichkeit zu vermeiden. Für Teile, die mit dem Produkt in Berührung kommen, ist rostfreier Stahl von hoher Qualität häufig der geeignete Werkstoff;</w:t>
      </w:r>
    </w:p>
    <w:p>
      <w:r>
        <w:t>d) die chemische und mikrobiologische Qualität des bei der Produktion verwendeten Wassers ist festzulegen und zu überwachen. Die Wartung von Wassersystemen ist sorgfältig durchzuführen, um das Risiko einer mikrobiellen Vermehrung zu vermeiden. Nach jeder chemischen Sanitisierung der Wassersysteme sollte eine Spülung nach einem validierten Verfahren vorgenommen werden, um sicherzustellen, dass das Sanitisierungsmittel vollständig entfernt worden ist;</w:t>
      </w:r>
    </w:p>
    <w:p>
      <w:r>
        <w:t>e) Material, das Fasern oder andere Verunreinigungen abgeben könnte, z. B. Kartons oder Holzpaletten, darf nicht in Bereiche gelangen, in denen Produkte oder gereinigte Behältnisse der Umgebungsluft ausgesetzt sind;</w:t>
      </w:r>
    </w:p>
    <w:p>
      <w:r>
        <w:t>f) die Homogenität von Mischungen oder Suspensionen muss bei der Abfüllung gewahrt bleiben. Zu Beginn eines Abfüllvorgangs, nach Produktionsunterbrechungen und am Ende des Vorgangs ist besonders darauf zu achten, dass die Homogenität eingehalten wird;</w:t>
      </w:r>
    </w:p>
    <w:p>
      <w:r>
        <w:t>g) wird das Fertigprodukt nicht sofort verpackt, so sind die maximale Lagerdauer und die Lagerungsbedingungen festzulegen und einzuhalten.</w:t>
      </w:r>
    </w:p>
    <w:p>
      <w:pPr>
        <w:pStyle w:val="Heading2"/>
      </w:pPr>
      <w:r>
        <w:t>V. MEDIZINISCHE GASE</w:t>
      </w:r>
    </w:p>
    <w:p>
      <w:pPr>
        <w:pStyle w:val="Heading2"/>
      </w:pPr>
      <w:r>
        <w:t>V.1. Geltungsbereich</w:t>
      </w:r>
    </w:p>
    <w:p>
      <w:r>
        <w:t>Dieser Abschnitt enthält zusätzliche Anforderungen, die für die Herstellung von Tierarzneimitteln gelten, die medizinische Gase enthalten. Im Sinne dieses Abschnitts bezeichnet der Begriff „Gas“ jede Substanz, die bei 1,013 bar und + 20 °C vollständig gasförmig ist oder bei + 50 °C einen Dampfdruck von mehr als 3 bar aufweist.</w:t>
      </w:r>
    </w:p>
    <w:p>
      <w:r>
        <w:t>Im Ausnahmefall der kontinuierlichen Herstellung, in dem zwischen der Herstellung des Wirkstoffs und der Herstellung des Arzneimittels keine Zwischenlagerung des Gases möglich ist, fällt der gesamte Prozess (vom Ausgangsmaterial des Wirkstoffs bis zum medizinischen Fertigprodukt) in den Anwendungsbereich dieser Verordnung.</w:t>
      </w:r>
    </w:p>
    <w:p>
      <w:pPr>
        <w:pStyle w:val="Heading2"/>
      </w:pPr>
      <w:r>
        <w:t>V.2. Personal</w:t>
      </w:r>
    </w:p>
    <w:p>
      <w:r>
        <w:t>Das Personal wird speziell in Bezug auf die Gefahren geschult, die von diesen Produkten ausgehen; die Schulungsprogramme schließen auch die Fahrer von Tankfahrzeugen und das Personal von Auftragnehmern ein, welche die Qualität von medizinischen Gasen beeinflussen können (z. B. Mitarbeiter, die für die Wartung von Gasflaschen oder Ventilen zuständig sind).</w:t>
      </w:r>
    </w:p>
    <w:p>
      <w:pPr>
        <w:pStyle w:val="Heading2"/>
      </w:pPr>
      <w:r>
        <w:t>V.3. Räumlichkeiten</w:t>
      </w:r>
    </w:p>
    <w:p>
      <w:pPr>
        <w:pStyle w:val="Heading2"/>
      </w:pPr>
      <w:r>
        <w:t>V.4. Ausrüstung</w:t>
      </w:r>
    </w:p>
    <w:p>
      <w:pPr>
        <w:pStyle w:val="Heading2"/>
      </w:pPr>
      <w:r>
        <w:t>V.5. Dokumentation</w:t>
      </w:r>
    </w:p>
    <w:p>
      <w:r>
        <w:t>— Produktname;</w:t>
      </w:r>
    </w:p>
    <w:p>
      <w:r>
        <w:t>— Chargennummer;</w:t>
      </w:r>
    </w:p>
    <w:p>
      <w:r>
        <w:t>— Datum und Uhrzeit des Abfüllprozesses;</w:t>
      </w:r>
    </w:p>
    <w:p>
      <w:r>
        <w:t>— Identität der Person(en) für jeden wichtigen Arbeitsschritt (z. B. Räumung der Anlage, Entgegennahme, Vorbereitung der Abfüllung, Abfüllung usw.);</w:t>
      </w:r>
    </w:p>
    <w:p>
      <w:r>
        <w:t>— Referenznummer(n) der Charge(n) für das/die für die Befüllung verwendete(n) Gas(e), einschließlich Statusangabe;</w:t>
      </w:r>
    </w:p>
    <w:p>
      <w:r>
        <w:t>— eingesetzte Ausrüstung (z. B. Abfüllstation);</w:t>
      </w:r>
    </w:p>
    <w:p>
      <w:r>
        <w:t>— Anzahl der Gasflaschen bzw. mobilen Flüssiggasbehälter vor dem Befüllen, einschließlich deren individueller Referenzcode und der Wasserkapazität(en);</w:t>
      </w:r>
    </w:p>
    <w:p>
      <w:r>
        <w:t>— vor der Abfüllung durchgeführte Tätigkeiten;</w:t>
      </w:r>
    </w:p>
    <w:p>
      <w:r>
        <w:t>— wichtige Parameter, die erforderlich sind, um eine korrekte Abfüllung unter Standardbedingungen zu gewährleisten;</w:t>
      </w:r>
    </w:p>
    <w:p>
      <w:r>
        <w:t>— Ergebnisse der geeigneten Prüfungen, um sicherzustellen, dass die Gasflaschen bzw. mobilen Flüssiggasbehälter befüllt wurden;</w:t>
      </w:r>
    </w:p>
    <w:p>
      <w:r>
        <w:t>— ein Muster des Chargenetiketts;</w:t>
      </w:r>
    </w:p>
    <w:p>
      <w:r>
        <w:t>— Spezifikation des Fertigprodukts und Ergebnisse der Qualitätskontrollen (einschließlich Angabe des Kalibrierungsstatus der Testausrüstung);</w:t>
      </w:r>
    </w:p>
    <w:p>
      <w:r>
        <w:t>— Anzahl der zurückgewiesenen Gasflaschen bzw. mobilen Flüssiggasbehälter mit individuellen Angaben zur Identifizierung und den Gründen für die Zurückweisung;</w:t>
      </w:r>
    </w:p>
    <w:p>
      <w:r>
        <w:t>— eine detaillierte Auflistung aller Probleme und ungewöhnlichen Vorkommnisse sowie jede Abweichung von den Befüllungsanweisungen, abgezeichnet durch die Person, die diese gebilligt hat;</w:t>
      </w:r>
    </w:p>
    <w:p>
      <w:r>
        <w:t>— Freigabebestätigung durch die sachkundige Person mit Datum und Unterschrift.</w:t>
      </w:r>
    </w:p>
    <w:p>
      <w:r>
        <w:t>— Produktname;</w:t>
      </w:r>
    </w:p>
    <w:p>
      <w:r>
        <w:t>— Chargennummer;</w:t>
      </w:r>
    </w:p>
    <w:p>
      <w:r>
        <w:t>— Kennnummer des Tanks;</w:t>
      </w:r>
    </w:p>
    <w:p>
      <w:r>
        <w:t>— Datum und Uhrzeit des Abfüllprozesses;</w:t>
      </w:r>
    </w:p>
    <w:p>
      <w:r>
        <w:t>— Identifizierung der Person(en), die das Befüllen des Tanks (Tankfahrzeugs) durchführt;</w:t>
      </w:r>
    </w:p>
    <w:p>
      <w:r>
        <w:t>— Angabe des beliefernden Tankfahrzeugs (Tanks), gegebenenfalls Angabe des Ausgangsgases;</w:t>
      </w:r>
    </w:p>
    <w:p>
      <w:r>
        <w:t>— relevante Angaben zum Befüllungsvorgang;</w:t>
      </w:r>
    </w:p>
    <w:p>
      <w:r>
        <w:t>— Spezifikation des Fertigprodukts und Ergebnisse der Qualitätskontrollen (einschließlich Angabe des Kalibrierungsstatus der Testausrüstung);</w:t>
      </w:r>
    </w:p>
    <w:p>
      <w:r>
        <w:t>— eine detaillierte Auflistung aller Probleme und ungewöhnlichen Vorkommnisse sowie jede Abweichung von den Befüllungsanweisungen, abgezeichnet durch die Person, die diese gebilligt hat;</w:t>
      </w:r>
    </w:p>
    <w:p>
      <w:r>
        <w:t>— Freigabebestätigung durch die sachkundige Person mit Datum und Unterschrift.</w:t>
      </w:r>
    </w:p>
    <w:p>
      <w:pPr>
        <w:pStyle w:val="Heading2"/>
      </w:pPr>
      <w:r>
        <w:t>V.6. Produktion</w:t>
      </w:r>
    </w:p>
    <w:p>
      <w:r>
        <w:t>a) Der Transfer von kryogenen oder verflüssigten Gasen aus dem Primärlager, einschließlich der Kontrollen vor dem Transfer, muss nach validierten Verfahren erfolgen, die so konzipiert sind, dass jegliche Kontamination vermieden wird. Die Transferschläuche müssen mit Rückschlagventilen oder anderen geeigneten Alternativen ausgestattet sein. Flexible Anschlüsse, Kupplungsschläuche und Anschlussstücke müssen vor der Verwendung mit dem betreffenden Gas durchgespült werden.</w:t>
      </w:r>
    </w:p>
    <w:p>
      <w:r>
        <w:t>b) Die zum Befüllen von Tanks und Tankfahrzeugen verwendeten Transferschläuche müssen mit produktspezifischen Anschlüssen ausgerüstet sein. Der Einsatz von Adaptern, die den Anschluss an Tanks und Tankfahrzeuge ermöglichen, die nicht für dieselben Gase bestimmt sind, muss angemessen kontrolliert werden.</w:t>
      </w:r>
    </w:p>
    <w:p>
      <w:r>
        <w:t>c) Gaslieferungen können in Tanks eingefüllt werden, die schon Gas mit derselben definierten Gasqualität enthalten, sofern eine Probe belegt, dass die Qualität des gelieferten Gases akzeptabel ist. Diese Probe kann von dem anzuliefernden Gas oder nach der Einfüllung in den Lagertank entnommen werden.</w:t>
      </w:r>
    </w:p>
    <w:p>
      <w:r>
        <w:t>d) Die Befüllung von bei Kunden vor Ort verbleibenden Tanks ist gemäß Abschnitt V.7.3 vorzunehmen.</w:t>
      </w:r>
    </w:p>
    <w:p>
      <w:r>
        <w:t>a) Die Charge(n) eines Gases/von Gasen muss/müssen vor der Befüllung von Gasflaschen und mobilen Flüssiggasbehältern festgelegt, entsprechend ihrer Spezifikationen geprüft und zum Befüllen freigegeben sein.</w:t>
      </w:r>
    </w:p>
    <w:p>
      <w:r>
        <w:t>b) Im Falle kontinuierlicher Prozesse sind adäquate Inprozesskontrollen durchzuführen, um sicherzustellen, dass das Gas den Spezifikationen entspricht.</w:t>
      </w:r>
    </w:p>
    <w:p>
      <w:r>
        <w:t>c) Gasflaschen, mobile Flüssiggasbehälter und Ventile müssen den entsprechenden technischen Spezifikationen und einschlägigen Anforderungen der Zulassung entsprechen. Sie müssen einem einzelnen medizinischen Gas oder einem festgelegten Gemisch medizinischer Gase zugeordnet werden. Die Gasflaschen sind nach einschlägigen Standards farblich zu codieren. Sie müssen vorzugsweise mit Minimalrestdruckventil mit Rückströmverhinderung ausgestattet sein, um einen angemessenen Schutz vor Kontamination zu gewährleisten.</w:t>
      </w:r>
    </w:p>
    <w:p>
      <w:r>
        <w:t>d) Gasflaschen, mobile Flüssiggasbehälter und Ventile sind vor dem ersten Gebrauch in der Produktion zu überprüfen und ordnungsgemäß zu warten. Werden Medizinprodukte mit CE-Kennzeichnung verwendet, so muss die Wartung gemäß den Anweisungen des Herstellers erfolgen.</w:t>
      </w:r>
    </w:p>
    <w:p>
      <w:r>
        <w:t>e) Überprüfungen und Wartungsvorgänge dürfen die Qualität und Sicherheit des Arzneimittels nicht beeinträchtigen. Wasser für die Durchführung der Wasserdruckprüfung muss zumindest Trinkwasserqualität haben.</w:t>
      </w:r>
    </w:p>
    <w:p>
      <w:r>
        <w:t>f) Im Rahmen der Überprüfungen und Wartungsarbeiten sind die Gasflaschen vor dem Einbau des Ventils einer inneren Sichtkontrolle zu unterziehen, um sicherzustellen, dass sie nicht mit Wasser oder anderen Verunreinigungen kontaminiert sind. Dies ist insbesondere erforderlich, wenn sie neu sind und erstmalig für medizinische Gase verwendet werden, im Anschluss an eine gesetzlich vorgeschriebene Wasserdruck- oder gleichwertige Prüfung, bei der das Ventil ausgebaut wird, oder wenn das Ventil ausgetauscht wird.</w:t>
      </w:r>
    </w:p>
    <w:p>
      <w:r>
        <w:t>g) Nach dem Einbau ist das Ventil geschlossen zu halten, um jegliche Kontamination der Gasflasche zu verhindern. Bestehen Zweifel am Zustand des Inneren der Gasflasche, so ist das Ventil zu entfernen und das Innere der Gasflasche zu inspizieren, um sicherzustellen, dass es nicht verunreinigt ist.</w:t>
      </w:r>
    </w:p>
    <w:p>
      <w:r>
        <w:t>h) Wartungs- und Reparaturvorgänge an Gasflaschen, mobilen Flüssiggasbehältern und Ventilen liegen in der Verantwortung des Herstellers des Arzneimittels. Im Fall der Vergabe von Unteraufträgen dürfen sie nur von genehmigten Unterauftragnehmern ausgeführt werden, und es werden hierüber Verträge – die technische Spezifikationen enthalten – aufgesetzt. Unterauftragnehmer sind zu auditieren, um sicherzustellen, dass angemessene Standards eingehalten werden.</w:t>
      </w:r>
    </w:p>
    <w:p>
      <w:r>
        <w:t>i) Es ist ein System einzurichten, das die Rückverfolgbarkeit von Gasflaschen, mobilen Flüssiggasbehältern und Ventilen gewährleistet.</w:t>
      </w:r>
    </w:p>
    <w:p>
      <w:r>
        <w:t>j) Vor Befüllung sind u. a. folgende Prüfungen durchzuführen:</w:t>
      </w:r>
    </w:p>
    <w:p>
      <w:r>
        <w:t>— Es ist eine Prüfung nach einem festgelegten Verfahren durchzuführen, um sicherzustellen, dass in jeder Gasflasche ein positiver Restdruck vorhanden ist.</w:t>
      </w:r>
    </w:p>
    <w:p>
      <w:r>
        <w:t>Ist eine Gasflasche mit einem Minimalrestdruckventil ausgerüstet und ist kein Anzeichen für einen positiven Restdruck vorhanden, ist das ordnungsgemäße Funktionieren des Ventils zu überprüfen. Wird festgestellt, dass das Ventil nicht ordnungsgemäß funktioniert, so ist die Gasflasche zur Wartung zu geben.</w:t>
      </w:r>
    </w:p>
    <w:p>
      <w:r>
        <w:t>Ist die Gasflasche nicht mit einem Minimalrestdruckventil ausgerüstet und ist kein positiver Restdruck vorhanden, so ist die Gasflasche auszusortieren und zusätzlichen Maßnahmen zu unterziehen, um sicherzustellen, dass sie nicht mit Wasser oder anderen Stoffen verunreinigt ist; zusätzliche Maßnahmen wie eine innere Sichtkontrolle mit anschließender Reinigung nach einem validierten Verfahren können in Betracht gezogen werden.</w:t>
      </w:r>
    </w:p>
    <w:p>
      <w:r>
        <w:t>— Kontrolle, um sicherzustellen, dass alle früheren Chargenetiketten entfernt wurden.</w:t>
      </w:r>
    </w:p>
    <w:p>
      <w:r>
        <w:t>— Kontrolle, ob beschädigte Produktetiketten entfernt und ersetzt wurden.</w:t>
      </w:r>
    </w:p>
    <w:p>
      <w:r>
        <w:t>— Äußere Sichtprüfung aller Gasflaschen, mobilen Flüssiggasbehälter und Ventile auf Beulen, Schweißschäden, Ablagerungen, sonstige Schäden und Verunreinigungen mit Öl oder Fett; erforderlichenfalls ist eine Reinigung durchzuführen.</w:t>
      </w:r>
    </w:p>
    <w:p>
      <w:r>
        <w:t>— Kontrolle des Anschlusses jeder Gasflasche oder jedes mobilen Flüssiggasbehälters, um festzustellen, ob es sich um den richtigen Anschluss für das jeweilige Gas handelt.</w:t>
      </w:r>
    </w:p>
    <w:p>
      <w:r>
        <w:t>— Kontrolle des Datums der nächsten anstehenden Prüfung des Ventils (bei Ventilen, die regelmäßig geprüft werden müssen).</w:t>
      </w:r>
    </w:p>
    <w:p>
      <w:r>
        <w:t>— Kontrolle der Gasflaschen oder mobilen Flüssiggasbehälter, um sicherzustellen, dass alle Prüfungen, die aufgrund nationaler oder internationaler Vorschriften erforderlich sind (z. B. Wasserdruck- oder gleichwertige Prüfung für Gasflaschen), durchgeführt wurden und weiterhin gültig sind.</w:t>
      </w:r>
    </w:p>
    <w:p>
      <w:r>
        <w:t>— Kontrolle, ob jede Gasflasche gemäß der Zulassung farblich kodiert ist (Farbkodierung aufgrund der einschlägigen nationalen oder internationalen Standards).</w:t>
      </w:r>
    </w:p>
    <w:p>
      <w:r>
        <w:t>k) Gasflaschen, die zur Nachfüllung zurückgegeben werden, sind gemäß den in der Zulassung festgelegten Verfahren sorgfältig vorzubehandeln, um das Kontaminationsrisiko so gering wie möglich zu halten. Diese Verfahren, zu denen auch Evakuieren und/oder Spülen gehören, sind zu validieren.</w:t>
      </w:r>
    </w:p>
    <w:p>
      <w:r>
        <w:t>l) Mobile Flüssiggasbehälter, die zur Nachfüllung zurückgegeben werden, sind gemäß den in der Zulassung festgelegten Verfahren sorgfältig vorzubehandeln, um das Kontaminationsrisiko so gering wie möglich zu halten. Insbesondere sind mobile Behälter ohne Restdruck nach einem validierten Verfahren vorzubehandeln.</w:t>
      </w:r>
    </w:p>
    <w:p>
      <w:r>
        <w:t>m) Es sind geeignete Prüfungen durchzuführen, um sicherzustellen, dass jede Gasflasche bzw. jeder mobile Flüssiggasbehälter ordnungsgemäß befüllt worden ist.</w:t>
      </w:r>
    </w:p>
    <w:p>
      <w:r>
        <w:t>n) Jede befüllte Gasflasche ist nach einem geeigneten Verfahren auf Dichtheit zu prüfen, bevor der Originalitätsverschluss angebracht wird. Durch das Prüfverfahren darf keine Verunreinigung in den Ventilauslass gelangen; die Prüfung ist gegebenenfalls nach der Entnahme einer Qualitätsprobe durchzuführen.</w:t>
      </w:r>
    </w:p>
    <w:p>
      <w:r>
        <w:t>o) Nach dem Befüllen müssen die Gasflaschenventile mit Abdeckungen versehen werden, um die Auslässe vor Kontamination zu schützen. Gasflaschen und mobile Flüssiggasbehälter müssen mit Originalitätsverschlüssen versehen werden.</w:t>
      </w:r>
    </w:p>
    <w:p>
      <w:r>
        <w:t>p) Jede Gasflasche oder jeder mobile Flüssiggasbehälter ist zu kennzeichnen. Die Chargennummer und das Verfallsdatum können auf gesonderten Etiketten angegeben werden.</w:t>
      </w:r>
    </w:p>
    <w:p>
      <w:r>
        <w:t>q) Bei medizinischen Gasen, die durch Mischen von zwei oder mehr verschiedenen Gasen (inline vor dem Befüllen oder direkt in der Gasflasche) hergestellt werden, ist der Mischprozess zu validieren, um sicherzustellen, dass die Gase in jeder Gasflasche ordnungsgemäß gemischt vorliegen und das Gemisch homogen ist.</w:t>
      </w:r>
    </w:p>
    <w:p>
      <w:pPr>
        <w:pStyle w:val="Heading2"/>
      </w:pPr>
      <w:r>
        <w:t>V.7. Qualitätskontrolle</w:t>
      </w:r>
    </w:p>
    <w:p>
      <w:r>
        <w:t>a) Bei einem einzigen medizinischen Gas, das über eine Mehrflaschenabfüllstation in Gasflaschen gefüllt wird, ist das Gas aus mindestens einer Flasche aus jedem Abfüllvorgang, beim Wechsel der Gasflaschen an der Abfüllstation, auf Identität und Gehalt zu prüfen.</w:t>
      </w:r>
    </w:p>
    <w:p>
      <w:r>
        <w:t>b) Werden Gasflaschen einzeln mit einem einzigen medizinischen Gas befüllt, ist das Gas aus mindestens einer Gasflasche jedes nicht unterbrochenen Abfüllvorgangs auf Identität und Gehalt zu prüfen. Ein Beispiel für einen nicht unterbrochenen Abfüllvorgang ist die Produktion während einer Arbeitsschicht mit demselben Personal, derselben Ausrüstung und derselben abzufüllenden Gascharge.</w:t>
      </w:r>
    </w:p>
    <w:p>
      <w:r>
        <w:t>c) Bei einem medizinischen Gas, das durch Mischen von zwei oder mehr Gasen in einer Gasflasche aus derselben Abfüllstation hergestellt wird, ist das Gas aus jeder Gasflasche auf Gehalt und Identität jeder Gaskomponente zu prüfen. Bei etwaigen Hilfsstoffen kann die Identitätsprüfung an einer Gasflasche pro Abfüllvorgang (oder bei Gasflaschen, die einzeln befüllt werden, pro nicht unterbrochenem Abfüllvorgang) durchgeführt werden. Es ist zulässig, im Fall eines validierten automatisierten Abfüllsystems weniger Gasflaschen zu testen.</w:t>
      </w:r>
    </w:p>
    <w:p>
      <w:r>
        <w:t>d) Für vorgemischte Gase gelten, wenn eine kontinuierliche Inline-Prüfung des abzufüllenden Gemisches erfolgt, dieselben Grundsätze wie für Einzelgase. Für vorgemischte Gase gelten, wenn keine kontinuierliche Inline-Prüfung des abzufüllenden Gemisches erfolgt, dieselben Grundsätze wie für medizinische Gase, die durch das Mischen von Gasen in den Gasflaschen hergestellt werden.</w:t>
      </w:r>
    </w:p>
    <w:p>
      <w:r>
        <w:t>Die Testung auf Wassergehalt sollte durchgeführt werden, soweit nicht anderweitig begründet.</w:t>
      </w:r>
    </w:p>
    <w:p>
      <w:pPr>
        <w:pStyle w:val="Heading2"/>
      </w:pPr>
      <w:r>
        <w:t>VI. UNTER DRUCK STEHENDE DOSIERBARE AEROSOLPRÄPARATE ZUR INHALATION</w:t>
      </w:r>
    </w:p>
    <w:p>
      <w:pPr>
        <w:pStyle w:val="Heading2"/>
      </w:pPr>
      <w:r>
        <w:t>VI.1. Allgemeines</w:t>
      </w:r>
    </w:p>
    <w:p>
      <w:pPr>
        <w:pStyle w:val="Heading2"/>
      </w:pPr>
      <w:r>
        <w:t>VI.2. Räumlichkeiten und Ausrüstungen</w:t>
      </w:r>
    </w:p>
    <w:p>
      <w:pPr>
        <w:pStyle w:val="Heading2"/>
      </w:pPr>
      <w:r>
        <w:t>VI.3. Produktion und Qualitätskontrolle</w:t>
      </w:r>
    </w:p>
    <w:p>
      <w:pPr>
        <w:pStyle w:val="Heading1"/>
      </w:pPr>
      <w:r>
        <w:t>ANHANG IV COMPUTERGESTÜTZTE SYSTEME</w:t>
      </w:r>
    </w:p>
    <w:p>
      <w:pPr>
        <w:pStyle w:val="Heading2"/>
      </w:pPr>
      <w:r>
        <w:t>I. GEGENSTAND</w:t>
      </w:r>
    </w:p>
    <w:p>
      <w:r>
        <w:t>Die Anforderungen in diesem Anhang gelten für computergestützte Systeme, die im Zusammenhang mit der Herstellung von Tierarzneimitteln verwendet werden, soweit diese Verwendung unter die gute Herstellungspraxis fällt. Die Verwendung von Computersystemen in Herstellungsstätten zu Zwecken, die nicht mit dem pharmazeutischen Qualitätssystem in Verbindung stehen (z. B. Personal- oder Geschäftsangelegenheiten usw.), ist von den Anforderungen in diesem Anhang nicht betroffen.</w:t>
      </w:r>
    </w:p>
    <w:p>
      <w:pPr>
        <w:pStyle w:val="Heading2"/>
      </w:pPr>
      <w:r>
        <w:t>II. ALLGEMEINE BESTIMMUNGEN</w:t>
      </w:r>
    </w:p>
    <w:p>
      <w:pPr>
        <w:pStyle w:val="Heading2"/>
      </w:pPr>
      <w:r>
        <w:t>III. ENTWICKLUNGSPHASE</w:t>
      </w:r>
    </w:p>
    <w:p>
      <w:pPr>
        <w:pStyle w:val="Heading2"/>
      </w:pPr>
      <w:r>
        <w:t>IV. BETRIEBSPHASE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(5 von 7) Anhang II-IV BIOLOGISCHE UND IMMUNOLOGISCHE, BESONDERE</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