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2025-2154 GMP Wirkstoffe (3 von 3) Kap XII-XX VALIDIERUNG, ÄNDERUNGSKONTROLLE</w:t>
      </w:r>
    </w:p>
    <w:p>
      <w:r>
        <w:t>Quelle: Amtsblatt der EU, CELEX 32025R2154, https://eur-lex.europa.eu/legal-content/DE/TXT/?uri=CELEX:32025R2154</w:t>
      </w:r>
    </w:p>
    <w:p>
      <w:pPr>
        <w:pStyle w:val="Heading1"/>
      </w:pPr>
      <w:r>
        <w:t>KAPITEL XII VALIDIERUNG</w:t>
      </w:r>
    </w:p>
    <w:p>
      <w:pPr>
        <w:pStyle w:val="Heading2"/>
      </w:pPr>
      <w:r>
        <w:t>Artikel 51 Validierungspolitik und -methodik</w:t>
      </w:r>
    </w:p>
    <w:p>
      <w:r>
        <w:t>(1) Die Politik und Methodik des Herstellers im Bereich der Validierung, einschließlich der Validierung von Produktionsprozessen, Reinigungsverfahren, Analysenmethoden, Inprozesskontroll-Testverfahren, computergestützten Systemen und der Ernennung der für die Entwicklung, Überprüfung, Genehmigung und Dokumentation jeder Validierungsphase zuständigen Personen, sind festzulegen und zu dokumentieren.</w:t>
      </w:r>
    </w:p>
    <w:p>
      <w:r>
        <w:t>(2) Kritische Prozessparameter oder Eigenschaften des Wirkstoffs müssen während seiner Entwicklungsphase oder auf der Grundlage historischer Daten ermittelt und die für einen reproduzierbaren Betrieb benötigten Bandbreiten definiert werden, einschließlich:</w:t>
      </w:r>
    </w:p>
    <w:p>
      <w:r>
        <w:t>a) kritischer Produkteigenschaften des Wirkstoffs,</w:t>
      </w:r>
    </w:p>
    <w:p>
      <w:r>
        <w:t>b) der Prozessparameter, die die kritischen Qualitätseigenschaften des Wirkstoffs beeinflussen können,</w:t>
      </w:r>
    </w:p>
    <w:p>
      <w:r>
        <w:t>c) der Bandbreite für jeden kritischen Prozessparameter, der erwartungsgemäß bei routinemäßiger Herstellung und Prozesskontrolle verwendet wird.</w:t>
      </w:r>
    </w:p>
    <w:p>
      <w:r>
        <w:t>(3) Die Validierung muss sich auf diejenigen Vorgänge erstrecken, die als kritisch für die Qualität und die Reinheit des Wirkstoffs eingestuft wurden.</w:t>
      </w:r>
    </w:p>
    <w:p>
      <w:pPr>
        <w:pStyle w:val="Heading2"/>
      </w:pPr>
      <w:r>
        <w:t>Artikel 52 Validierungsdokumentation</w:t>
      </w:r>
    </w:p>
    <w:p>
      <w:r>
        <w:t>(1) Es ist ein schriftlicher Validierungsplan aufzustellen, in dem konkretisiert wird, wie die Validierung eines bestimmten Prozesses durchgeführt wird. Der Plan ist von der Qualitätsabteilung sowie anderen beauftragten Abteilungen zu überprüfen und genehmigen.</w:t>
      </w:r>
    </w:p>
    <w:p>
      <w:r>
        <w:t>(2) Im Validierungsplan ist Folgendes zu konkretisieren:</w:t>
      </w:r>
    </w:p>
    <w:p>
      <w:r>
        <w:t>a) die kritischen Prozessschritte und Akzeptanzkriterien,</w:t>
      </w:r>
    </w:p>
    <w:p>
      <w:r>
        <w:t>b) die Art der durchzuführenden Validierung (z. B. prospektiv, begleitend),</w:t>
      </w:r>
    </w:p>
    <w:p>
      <w:r>
        <w:t>c) die Anzahl der Prozessläufe.</w:t>
      </w:r>
    </w:p>
    <w:p>
      <w:r>
        <w:t>(3) Es ist ein Validierungsbericht anzufertigen, der sich auf den Validierungsplan bezieht. Dieser Validierungsbericht muss Folgendes enthalten:</w:t>
      </w:r>
    </w:p>
    <w:p>
      <w:r>
        <w:t>a) eine Zusammenfassung der erhaltenen Ergebnisse,</w:t>
      </w:r>
    </w:p>
    <w:p>
      <w:r>
        <w:t>b) alle beobachteten Abweichungen vom Validierungsplan,</w:t>
      </w:r>
    </w:p>
    <w:p>
      <w:r>
        <w:t>c) Anmerkungen und Schlussfolgerungen zu den Abweichungen nach Buchstabe b,</w:t>
      </w:r>
    </w:p>
    <w:p>
      <w:r>
        <w:t>d) Empfehlungen für Änderungen zur Behebung von Mängeln.</w:t>
      </w:r>
    </w:p>
    <w:p>
      <w:r>
        <w:t>(4) Abweichungen vom Validierungsplan sind mit entsprechender Begründung zu dokumentieren.</w:t>
      </w:r>
    </w:p>
    <w:p>
      <w:pPr>
        <w:pStyle w:val="Heading2"/>
      </w:pPr>
      <w:r>
        <w:t>Artikel 53 Qualifizierung</w:t>
      </w:r>
    </w:p>
    <w:p>
      <w:r>
        <w:t>(1) Vor Beginn der Prozessvalidierung ist eine ordnungsgemäße Qualifizierung der kritischen Ausrüstung und der Hilfseinrichtungen vorzunehmen.</w:t>
      </w:r>
    </w:p>
    <w:p>
      <w:r>
        <w:t>(2) Bei einer Qualifizierung dürfen die folgenden Schritte einzeln oder gemeinsam durchlaufen werden:</w:t>
      </w:r>
    </w:p>
    <w:p>
      <w:r>
        <w:t>a) Designqualifizierung: dokumentierte Verifizierung, dass das für Einrichtungen, Ausrüstung oder Systeme vorgesehene Design für den entsprechenden Verwendungszweck geeignet ist,</w:t>
      </w:r>
    </w:p>
    <w:p>
      <w:r>
        <w:t>b) Installationsqualifizierung: dokumentierte Verifizierung, dass die Ausrüstung oder Systeme, so wie sie installiert sind oder modifiziert wurden, mit dem genehmigten Design, den Empfehlungen des Herstellers und/oder den Nutzeranforderungen übereinstimmen,</w:t>
      </w:r>
    </w:p>
    <w:p>
      <w:r>
        <w:t>c) Funktionsqualifizierung: dokumentierte Verifizierung, dass die Ausrüstung oder Systeme, so wie sie installiert sind oder modifiziert wurden, innerhalb der vorgesehenen Betriebsbereiche den Erwartungen gemäß funktionieren,</w:t>
      </w:r>
    </w:p>
    <w:p>
      <w:r>
        <w:t>d) Leistungsqualifizierung: dokumentierte Verifizierung, dass die Ausrüstung und die Hilfseinrichtungen, so wie sie miteinander verbunden sind, auf der Grundlage der genehmigten Prozessmethode und -spezifikationen effektiv und reproduzierbar funktionieren.</w:t>
      </w:r>
    </w:p>
    <w:p>
      <w:pPr>
        <w:pStyle w:val="Heading2"/>
      </w:pPr>
      <w:r>
        <w:t>Artikel 54 Prozessvalidierung</w:t>
      </w:r>
    </w:p>
    <w:p>
      <w:r>
        <w:t>(1) Für sämtliche Wirkstoffprozesse ist die prospektive Validierung zu verwenden.</w:t>
      </w:r>
    </w:p>
    <w:p>
      <w:r>
        <w:t>(2) Die an einem Wirkstoffprozess durchgeführte prospektive Validierung ist abzuschließen, bevor das aus diesem Wirkstoff hergestellte Tierarzneimittel in den Handel gelangt.</w:t>
      </w:r>
    </w:p>
    <w:p>
      <w:r>
        <w:t>(3) Abweichend von Absatz 1 darf in folgenden Fällen eine begleitende Validierung erfolgen:</w:t>
      </w:r>
    </w:p>
    <w:p>
      <w:r>
        <w:t>a) es stehen keine Daten aus wiederholten Produktionsläufen zur Verfügung, weil nur eine begrenzte Zahl von Wirkstoffchargen produziert wurde,</w:t>
      </w:r>
    </w:p>
    <w:p>
      <w:r>
        <w:t>b) Wirkstoffchargen werden selten hergestellt oder</w:t>
      </w:r>
    </w:p>
    <w:p>
      <w:r>
        <w:t>c) Wirkstoffchargen werden mithilfe eines validierten Prozesses, der modifiziert wurde, hergestellt.</w:t>
      </w:r>
    </w:p>
    <w:p>
      <w:r>
        <w:t>(4) Auf der Grundlage sorgfältiger Überwachung und Prüfung der Wirkstoffchargen dürfen diese vor Abschluss einer begleitenden Validierung freigegeben und für die Herstellung eines Tierarzneimittels verwendet werden.</w:t>
      </w:r>
    </w:p>
    <w:p>
      <w:r>
        <w:t>(5) Ebenfalls in Abweichung von Absatz 1 darf für bewährte Prozesse, die ohne signifikante Änderung der Wirkstoffqualität aufgrund von Änderungen bei Rohmaterialien, Ausrüstung, Systemen, Räumlichkeiten oder dem Produktionsprozess zum Einsatz kamen, eine retrospektive Validierung erfolgen. Dieser Validierungsansatz darf verwendet werden, wenn alle nachfolgenden Bedingungen erfüllt sind:</w:t>
      </w:r>
    </w:p>
    <w:p>
      <w:r>
        <w:t>a) die kritischen Qualitätseigenschaften und Prozessparameter wurden identifiziert;</w:t>
      </w:r>
    </w:p>
    <w:p>
      <w:r>
        <w:t>b) geeignete Inprozess-Akzeptanzkriterien und -kontrollen wurden festgelegt;</w:t>
      </w:r>
    </w:p>
    <w:p>
      <w:r>
        <w:t>c) es ist kein signifikantes Prozess- oder Produktversagen nachzuweisen, ausgenommen Bedienungsfehler oder nicht mit der Eignung der Ausrüstung zusammenhängendes Ausrüstungsversagen;</w:t>
      </w:r>
    </w:p>
    <w:p>
      <w:r>
        <w:t>d) für die bekannten Wirkstoffe wurden Verunreinigungsprofile erstellt.</w:t>
      </w:r>
    </w:p>
    <w:p>
      <w:r>
        <w:t>(6) Die für die retrospektive Validierung ausgewählten Chargen müssen folgende Kriterien erfüllen:</w:t>
      </w:r>
    </w:p>
    <w:p>
      <w:r>
        <w:t>a) sie sind repräsentativ für alle im Überprüfungszeitraum hergestellten Chargen, einschließlich derer, die die Spezifikationen nicht erfüllten;</w:t>
      </w:r>
    </w:p>
    <w:p>
      <w:r>
        <w:t>b) ihre Menge ist ausreichend, um die Beständigkeit des Prozesses nachzuweisen.</w:t>
      </w:r>
    </w:p>
    <w:p>
      <w:r>
        <w:t>(7) Für die retrospektive Validierung dürfen Rückstellmuster geprüft werden.</w:t>
      </w:r>
    </w:p>
    <w:p>
      <w:pPr>
        <w:pStyle w:val="Heading2"/>
      </w:pPr>
      <w:r>
        <w:t>Artikel 55 Prozessvalidierungsprogramm</w:t>
      </w:r>
    </w:p>
    <w:p>
      <w:r>
        <w:t>(1) Die Anzahl der Prozessläufe für eine Validierung hängt davon ab, wie komplex der Prozess oder wie kritisch die geplante Prozessänderung ist.</w:t>
      </w:r>
    </w:p>
    <w:p>
      <w:r>
        <w:t>(2) Für die prospektive und die begleitende Validierung sind mindestens drei aufeinanderfolgende erfolgreiche Produktionschargen zu verwenden. In Situationen, in denen zusätzliche Prozessläufe zum Nachweis der Beständigkeit des Prozesses gerechtfertigt sind (z. B. bei komplexen Wirkstoffprozessen oder Wirkstoffprozessen mit verzögerter Fertigstellung), ist diese Anzahl zu erhöhen.</w:t>
      </w:r>
    </w:p>
    <w:p>
      <w:r>
        <w:t>(3) Für die retrospektive Validierung sind Daten von zehn bis dreißig aufeinanderfolgenden Chargen zu untersuchen, um die Beständigkeit eines Prozesses zu bewerten.</w:t>
      </w:r>
    </w:p>
    <w:p>
      <w:r>
        <w:t>(4) Abweichend von Absatz 3 darf für die retrospektive Validierung bei entsprechender Begründung eine geringere Anzahl von Chargen überprüft werden.</w:t>
      </w:r>
    </w:p>
    <w:p>
      <w:r>
        <w:t>(5) Die kritischen Prozessparameter müssen während der Prozessvalidierungsstudien kontrolliert und überwacht werden. Prozessparameter ohne Beziehung zur Qualität, wie z. B. Variablen, die kontrolliert werden, um den Energieverbrauch und den Einsatz der Ausrüstung zu minimieren, dürfen aus der Prozessvalidierung ausgenommen werden.</w:t>
      </w:r>
    </w:p>
    <w:p>
      <w:r>
        <w:t>(6) Mit der Prozessvalidierung ist zu bestätigen, dass das Verunreinigungsprofil jeden Wirkstoffs innerhalb der spezifizierten Grenzwerte liegt. Das Verunreinigungsprofil muss mit den historischen Daten und gegebenenfalls mit dem während der Prozessentwicklung erstellten Profil oder dem Profil von Chargen, die für klinische Schlüsselstudien oder toxikologische Studien verwendet wurden, vergleichbar oder besser als diese sein.</w:t>
      </w:r>
    </w:p>
    <w:p>
      <w:pPr>
        <w:pStyle w:val="Heading2"/>
      </w:pPr>
      <w:r>
        <w:t>Artikel 56 Regelmäßige Überprüfung validierter Systeme</w:t>
      </w:r>
    </w:p>
    <w:p>
      <w:r>
        <w:t>(1) Validierte Systeme und Prozesse sind regelmäßig zu überprüfen.</w:t>
      </w:r>
    </w:p>
    <w:p>
      <w:r>
        <w:t>(2) Sind am System oder Prozess keine größeren Veränderungen vorgenommen worden und wird durch eine Qualitätsüberprüfung bestätigt, dass das System oder der Prozess beständig ein innerhalb seiner Spezifikationen liegendes Material hervorbringt, ist eine erneute Validierung nicht erforderlich.</w:t>
      </w:r>
    </w:p>
    <w:p>
      <w:pPr>
        <w:pStyle w:val="Heading2"/>
      </w:pPr>
      <w:r>
        <w:t>Artikel 57 Reinigungsvalidierung</w:t>
      </w:r>
    </w:p>
    <w:p>
      <w:r>
        <w:t>(1) Die Reinigungsverfahren sind zu validieren. Die Reinigungsvalidierung muss sich auf Situationen oder Prozessschritte richten, bei denen Kontamination oder Materialübertragung das größte Risiko für die Wirkstoffqualität darstellen.</w:t>
      </w:r>
    </w:p>
    <w:p>
      <w:r>
        <w:t>(2) Die Validierung von Reinigungsverfahren muss das tatsächliche Nutzungsmuster der Ausrüstung widerspiegeln. Wenn verschiedene Wirkstoffe oder Zwischenprodukte in derselben Ausrüstung hergestellt werden und diese Ausrüstung mit demselben Verfahren gereinigt wird, darf für die Reinigungsvalidierung ein repräsentatives Zwischenprodukt oder ein repräsentativer Wirkstoff ausgewählt werden. Die Auswahl muss auf Folgendem basieren:</w:t>
      </w:r>
    </w:p>
    <w:p>
      <w:r>
        <w:t>a) der Löslichkeit des Zwischenprodukts oder Wirkstoffs,</w:t>
      </w:r>
    </w:p>
    <w:p>
      <w:r>
        <w:t>b) der Schwierigkeit der Reinigung,</w:t>
      </w:r>
    </w:p>
    <w:p>
      <w:r>
        <w:t>c) der Berechnung von Rückstandsgrenzen auf der Grundlage von Wirksamkeit, Toxizität und Stabilität.</w:t>
      </w:r>
    </w:p>
    <w:p>
      <w:r>
        <w:t>(3) Der Reinigungsvalidierungsplan muss Folgendes beschreiben:</w:t>
      </w:r>
    </w:p>
    <w:p>
      <w:r>
        <w:t>a) die zu reinigende Ausrüstung,</w:t>
      </w:r>
    </w:p>
    <w:p>
      <w:r>
        <w:t>b) die Verfahren,</w:t>
      </w:r>
    </w:p>
    <w:p>
      <w:r>
        <w:t>c) die Materialien,</w:t>
      </w:r>
    </w:p>
    <w:p>
      <w:r>
        <w:t>d) die zulässigen Reinigungsgrade,</w:t>
      </w:r>
    </w:p>
    <w:p>
      <w:r>
        <w:t>e) die zu überwachenden und zu kontrollierenden Parameter,</w:t>
      </w:r>
    </w:p>
    <w:p>
      <w:r>
        <w:t>f) die Analysenmethoden,</w:t>
      </w:r>
    </w:p>
    <w:p>
      <w:r>
        <w:t>g) die Art der zu entnehmenden Proben und wie diese zu entnehmen und zu kennzeichnen sind.</w:t>
      </w:r>
    </w:p>
    <w:p>
      <w:r>
        <w:t>(4) Die Probenahme muss nach Bedarf Wischen, Spülen oder alternative Methoden (z. B. direkte Entnahme) umfassen, um sowohl unlösliche als auch lösliche Rückstände nachweisen zu können. Die verwendeten Probenahmemethoden müssen die quantitative Bestimmung der nach der Reinigung auf den Ausrüstungsoberflächen verbleibenden Rückstandsmengen zulassen.</w:t>
      </w:r>
    </w:p>
    <w:p>
      <w:r>
        <w:t>(5) Es sind validierte Analysenmethoden anzuwenden, die empfindlich genug sind, Rückstände oder Kontaminanten nachzuweisen. Die Nachweisgrenze für jede Analysenmethode muss hinreichend empfindlich sein, den festgelegten zulässigen Rückstands- oder Kontaminationsgrad zu ermitteln. Es ist die mit der Methode erreichbare Wiederfindungsrate festzulegen. Die Rückstandsgrenzen müssen praktikabel, erzielbar und verifizierbar sein und auf dem schädlichsten Rückstand basieren. Grenzwerte dürfen auf der Grundlage der geringsten bekannten pharmakologischen, toxikologischen oder physiologischen Aktivität des Wirkstoffs oder seines schädlichsten Bestandteils festgelegt werden.</w:t>
      </w:r>
    </w:p>
    <w:p>
      <w:r>
        <w:t>(6) Bei Prozessen, bei denen die Gesamtkeimzahl oder Endotoxine im Wirkstoff vermindert werden müssen, oder bei anderen Prozessen, bei denen eine derartige Kontamination von Bedeutung sein könnte (z. B. Verwendung nichtsteriler Wirkstoffe für die Herstellung steriler Produkte), ist mit Untersuchungen zur Ausrüstungsreinigung oder -sanitisierung gegen eine mögliche mikrobiologische oder Endotoxinkontamination vorzugehen.</w:t>
      </w:r>
    </w:p>
    <w:p>
      <w:r>
        <w:t>(7) Die Reinigungsverfahren sind nach der Validierung in angemessenen Zeitabständen zu überwachen, um sicherzustellen, dass sie auch während der Routineproduktion wirksam sind. Die Reinheit der Ausrüstung darf durch analytische Tests und, wenn möglich, visuelle Überprüfung überwacht werden. Eine grobe Kontamination in einem kleinen Bereich, die durch Probenahme oder Analyse unentdeckt bleiben würde, kann mittels Sichtprüfung aufgespürt werden.</w:t>
      </w:r>
    </w:p>
    <w:p>
      <w:pPr>
        <w:pStyle w:val="Heading2"/>
      </w:pPr>
      <w:r>
        <w:t>Artikel 58 Validierung der Analysemethoden</w:t>
      </w:r>
    </w:p>
    <w:p>
      <w:r>
        <w:t>(1) Die Analysenmethoden sind zu validieren, es sei denn, die verwendete Methode ist Teil der einschlägigen Pharmakopöe oder eines anderen anerkannten Standard-Referenzwerks. Die Eignung aller verwendeten Untersuchungsmethoden ist unter den tatsächlichen Einsatzbedingungen zu verifizieren, und diese Eignungsprüfung ist zu dokumentieren.</w:t>
      </w:r>
    </w:p>
    <w:p>
      <w:r>
        <w:t>(2) Die Validierung der Analysemethoden ist gemäß den im Leitfaden „Guideline on validation of analytical procedures: methodology“ festgelegten Anforderungen durchzuführen. Das Ausmaß der analytischen Validierung muss dem Zweck der Analyse und dem Stadium des Wirkstoffproduktionsprozesses Rechnung tragen.</w:t>
      </w:r>
    </w:p>
    <w:p>
      <w:r>
        <w:t>(3) Über jede Änderung einer validierten Analysenmethode sind vollständige Aufzeichnungen aufzubewahren. Diese Aufzeichnungen müssen den Grund für die Änderung und geeignete Daten beinhalten, die belegen, dass mit der geänderten Methode ebenso genaue und verlässliche Ergebnisse erzielt werden wie mit der herkömmlichen Methode.</w:t>
      </w:r>
    </w:p>
    <w:p>
      <w:pPr>
        <w:pStyle w:val="Heading1"/>
      </w:pPr>
      <w:r>
        <w:t>KAPITEL XIII ÄNDERUNGSKONTROLLE</w:t>
      </w:r>
    </w:p>
    <w:p>
      <w:pPr>
        <w:pStyle w:val="Heading2"/>
      </w:pPr>
      <w:r>
        <w:t>Artikel 59 Allgemeine Anforderungen an die Änderungskontrolle</w:t>
      </w:r>
    </w:p>
    <w:p>
      <w:r>
        <w:t>(1) Ein formales Änderungskontrollsystem zur Bewertung aller Änderungen, die Einfluss auf die Produktion und die Kontrolle eines Zwischenprodukts oder Wirkstoffs haben könnten, ist einzurichten.</w:t>
      </w:r>
    </w:p>
    <w:p>
      <w:r>
        <w:t>(2) Die Identifikation, die Dokumentation, die ordnungsgemäße Überprüfung und die Genehmigung von Änderungen bei Rohmaterialien, Spezifikationen, Analysenmethoden, Räumlichkeiten, unterstützenden Systemen, Ausrüstung (einschließlich Computer-Hard- und Software), Verarbeitungsschritten sowie Kennzeichnungs- und Verpackungsmaterialien sind in schriftlichen Arbeitsanweisungen zu beschreiben.</w:t>
      </w:r>
    </w:p>
    <w:p>
      <w:r>
        <w:t>(3) Alle Vorschläge für Änderungen, die für die gute Herstellungspraxis relevant sind, müssen von der zuständigen organisatorischen Einheit schriftlich niedergelegt, überprüft und genehmigt und von der Qualitätsabteilung überprüft und genehmigt werden.</w:t>
      </w:r>
    </w:p>
    <w:p>
      <w:r>
        <w:t>(4) Die potenziellen Auswirkungen der vorgeschlagenen Änderung auf die Qualität des Zwischenprodukts oder Wirkstoffs sind zu bewerten. Ein Klassifizierungsverfahren kann dazu beitragen, den Grad der Prüfung, Validierung und Dokumentation zu bestimmen, der notwendig ist, um Änderungen an einem validierten Prozess zu begründen. Änderungen sind in Abhängigkeit von ihrer Art und ihrem Ausmaß sowie den Auswirkungen, die sie auf den Prozess haben können, zu klassifizieren (z. B. als geringfügig oder größer).</w:t>
      </w:r>
    </w:p>
    <w:p>
      <w:r>
        <w:t>(5) Durch wissenschaftliche Beurteilung ist zu bestimmten, welche zusätzlichen Prüf- und Validierungsmaßnahmen geeignet sind, eine Änderung an einem validierten Prozess zu begründen.</w:t>
      </w:r>
    </w:p>
    <w:p>
      <w:r>
        <w:t>(6) Alle durch die Änderungen betroffenen Dokumente müssen bei Umsetzung genehmigter Änderungen überarbeitet und aktualisiert werden.</w:t>
      </w:r>
    </w:p>
    <w:p>
      <w:r>
        <w:t>(7) Nachdem eine Änderung umgesetzt wurde, ist eine Bewertung der ersten im Rahmen der Änderung produzierten oder getesteten Chargen vorzunehmen.</w:t>
      </w:r>
    </w:p>
    <w:p>
      <w:r>
        <w:t>(8) Die potenziellen Auswirkungen kritischer Änderungen auf festgelegte Wiederholungsprüfungs- oder Verfallsdaten sind zu bewerten. Wo erforderlich sind Proben der Wirkstoffe oder ihrer Zwischenprodukte, die mit dem modifizierten Prozess hergestellt wurden, einem beschleunigten Stabilitätsprogramm zu unterziehen und in das laufende Stabilitätsprogramm aufzunehmen.</w:t>
      </w:r>
    </w:p>
    <w:p>
      <w:r>
        <w:t>(9) Herstellern von Tierarzneimitteln sind Änderungen an festgelegten Produktions- und Prozesskontrollverfahren, die Auswirkungen auf die Qualität des im Tierarzneimittel verwendeten Wirkstoffs haben können, mitzuteilen.</w:t>
      </w:r>
    </w:p>
    <w:p>
      <w:pPr>
        <w:pStyle w:val="Heading1"/>
      </w:pPr>
      <w:r>
        <w:t>KAPITEL XIV ZURÜCKWEISUNG UND WIEDERVERWENDUNG VON MATERIALIEN</w:t>
      </w:r>
    </w:p>
    <w:p>
      <w:pPr>
        <w:pStyle w:val="Heading2"/>
      </w:pPr>
      <w:r>
        <w:t>Artikel 60 Zurückweisung</w:t>
      </w:r>
    </w:p>
    <w:p>
      <w:r>
        <w:t>Wirkstoffe und deren Zwischenprodukte, die festgelegte Spezifikationen nicht erfüllen, sind als solche auszuweisen und unter Quarantäne zu stellen. Die endgültige Verfügung über zurückgewiesene Materialien ist zu protokollieren.</w:t>
      </w:r>
    </w:p>
    <w:p>
      <w:pPr>
        <w:pStyle w:val="Heading2"/>
      </w:pPr>
      <w:r>
        <w:t>Artikel 61 Aufarbeitung</w:t>
      </w:r>
    </w:p>
    <w:p>
      <w:r>
        <w:t>(1) Zwischenprodukte oder Wirkstoffe, einschließlich solcher, die den Standards oder Spezifikationen nicht entsprechen, dürfen durch Wiederholung eines Kristallisierungsschritts oder eines anderen geeigneten chemischen oder physikalischen Manipulationsschritts (z. B. Destillation, Filtration, Chromatographie, Mahlen), die Teil des festgelegten Herstellungsprozesses sind, wieder in den Herstellungsprozess eingeführt und einer Aufarbeitung zugeführt werden. Wann immer eine derartige Aufarbeitung bei der Mehrzahl der Chargen angewandt wird, muss diese Aufarbeitung als ein Bestandteil des standardmäßigen Herstellungsprozesses in diesen aufgenommen werden.</w:t>
      </w:r>
    </w:p>
    <w:p>
      <w:r>
        <w:t>(2) Das Wiedereinführen von nicht umgesetztem Material in einen Prozess und die Wiederholung einer chemischen Reaktion gelten als Aufarbeitung, wenn sie nicht Teil eines festgelegten Prozesses sind. Dieser Aufarbeitung muss eine sorgfältige Bewertung vorausgehen, um sicherzustellen, dass die Qualität des Wirkstoffs oder seiner Zwischenprodukte nicht durch die mögliche Bildung von Nebenprodukten und überreagierten Materialien beeinträchtigt wird.</w:t>
      </w:r>
    </w:p>
    <w:p>
      <w:pPr>
        <w:pStyle w:val="Heading2"/>
      </w:pPr>
      <w:r>
        <w:t>Artikel 62 Umarbeitung</w:t>
      </w:r>
    </w:p>
    <w:p>
      <w:r>
        <w:t>(1) Chargen, die den festgelegten Standards oder Spezifikationen nicht entsprechen, dürfen nur dann umgearbeitet werden, wenn die Gründe für eine solche Abweichung untersucht wurden.</w:t>
      </w:r>
    </w:p>
    <w:p>
      <w:r>
        <w:t>(2) Umgearbeitete Chargen sind einer angemessenen Bewertung, Prüfung, wenn gerechtfertigt, einer Stabilitätsprüfung und einer Dokumentation zu unterziehen, um zu belegen, dass das umgearbeitete Produkt dem im ursprünglichen Prozess hergestellten qualitativ gleichwertig ist.</w:t>
      </w:r>
    </w:p>
    <w:p>
      <w:r>
        <w:t>(3) Eine begleitende Validierung darf als Validierungsansatz für Umarbeitungsverfahren verwendet werden. Falls nur eine Charge umzuarbeiten ist, darf ein Bericht verfasst und die Charge freigegeben werden, sobald sie sich als annehmbar erwiesen hat.</w:t>
      </w:r>
    </w:p>
    <w:p>
      <w:r>
        <w:t>(4) Die Verfahren müssen einen Vergleich der Verunreinigungsprofile der umgearbeiteten Chargen mit Chargen, die mit dem festgelegten Prozess hergestellt wurden, vorsehen. Sind routinemäßige Analysenmethoden zur Charakterisierung der umgearbeiteten Charge ungeeignet, müssen zusätzliche Methoden eingesetzt werden.</w:t>
      </w:r>
    </w:p>
    <w:p>
      <w:pPr>
        <w:pStyle w:val="Heading2"/>
      </w:pPr>
      <w:r>
        <w:t>Artikel 63 Rückgewinnung von Materialien und Lösungsmitteln</w:t>
      </w:r>
    </w:p>
    <w:p>
      <w:r>
        <w:t>(1) Reaktanden, Zwischenprodukte oder Wirkstoffe dürfen (z. B. aus Mutterlauge oder Filtraten) rückgewonnen werden, sofern genehmigte Verfahren für die Rückgewinnung bestehen und die rückgewonnenen Materialien den vorgeschriebenen Spezifikationen entsprechen.</w:t>
      </w:r>
    </w:p>
    <w:p>
      <w:r>
        <w:t>(2) Lösungsmittel dürfen rückgewonnen und im gleichen oder in anderen Prozessen wiederverwendet werden, wenn die Rückgewinnungsverfahren kontrolliert und überwacht werden, um sicherzustellen, dass die Lösungsmittel den festgelegten Standards entsprechen, bevor sie wiederverwendet oder mit anderen genehmigten Materialien gemischt werden.</w:t>
      </w:r>
    </w:p>
    <w:p>
      <w:r>
        <w:t>(3) Frische und rückgewonnene Lösungsmittel und Reagenzien dürfen vereinigt werden, sofern durch adäquate Prüfung ihre Eignung für den vorgesehenen Zweck nachgewiesen wurde.</w:t>
      </w:r>
    </w:p>
    <w:p>
      <w:r>
        <w:t>(4) Die Verwendung rückgewonnener Lösungsmittel, Mutterlaugen und anderer rückgewonnener Materialien ist ordnungsgemäß zu dokumentieren.</w:t>
      </w:r>
    </w:p>
    <w:p>
      <w:pPr>
        <w:pStyle w:val="Heading2"/>
      </w:pPr>
      <w:r>
        <w:t>Artikel 64 Rückgaben</w:t>
      </w:r>
    </w:p>
    <w:p>
      <w:r>
        <w:t>(1) Zurückgegebene Zwischenprodukte oder Wirkstoffe sind eindeutig als solche zu kennzeichnen und unter Quarantäne zu stellen.</w:t>
      </w:r>
    </w:p>
    <w:p>
      <w:r>
        <w:t>(2) Falls die Lagerungs- und Beförderungsbedingungen zurückgegebener Zwischenprodukte oder Wirkstoffe vor oder während der Rückgabe oder der Zustand ihrer Behälter Zweifel an ihrer Qualität aufkommen lassen, müssen die zurückgegebenen Zwischenprodukte oder Wirkstoffe gegebenenfalls aufgearbeitet, umgearbeitet oder vernichtet werden.</w:t>
      </w:r>
    </w:p>
    <w:p>
      <w:r>
        <w:t>(3) Über zurückgegebene Zwischenprodukte oder Wirkstoffe sind gemäß Artikel 21 Absatz 4 der Durchführungsverordnung (EU) 2021/1280 der Kommission Aufzeichnungen zu führen.</w:t>
      </w:r>
    </w:p>
    <w:p>
      <w:pPr>
        <w:pStyle w:val="Heading1"/>
      </w:pPr>
      <w:r>
        <w:t>KAPITEL XV BEANSTANDUNGEN UND RÜCKRUFE</w:t>
      </w:r>
    </w:p>
    <w:p>
      <w:pPr>
        <w:pStyle w:val="Heading2"/>
      </w:pPr>
      <w:r>
        <w:t>Artikel 65 Beanstandungs- und Rückrufverfahren für Hersteller</w:t>
      </w:r>
    </w:p>
    <w:p>
      <w:r>
        <w:t>(1) Es ist ein System einzurichten, mit dem sichergestellt wird, dass sämtliche qualitätsbezogenen Beanstandungen, ob mündlich oder schriftlich, aufgezeichnet und gründlich untersucht werden, und dass angemessene Maßnahmen, erforderlichenfalls einschließlich des Rückrufs des Wirkstoffs, ergriffen werden. Es sind Arbeitsanweisungen auszuarbeiten, in denen die nach Empfang einer qualitätsbezogenen Beanstandung zu ergreifenden Maßnahmen beschrieben werden.</w:t>
      </w:r>
    </w:p>
    <w:p>
      <w:r>
        <w:t>(2) Die Aufzeichnungen über Beanstandungen müssen Folgendes umfassen:</w:t>
      </w:r>
    </w:p>
    <w:p>
      <w:r>
        <w:t>a) Name oder Firma und ständige Anschrift oder eingetragene Niederlassung des Beanstanders;</w:t>
      </w:r>
    </w:p>
    <w:p>
      <w:r>
        <w:t>b) Name und gegebenenfalls Titel und Kontaktdaten der Person, die die Beanstandung einreicht;</w:t>
      </w:r>
    </w:p>
    <w:p>
      <w:r>
        <w:t>c) Art der Beanstandung (einschließlich Namen und Chargennummer des Wirkstoffs);</w:t>
      </w:r>
    </w:p>
    <w:p>
      <w:r>
        <w:t>d) Eingangsdatum der Beanstandung;</w:t>
      </w:r>
    </w:p>
    <w:p>
      <w:r>
        <w:t>e) zunächst ergriffene Maßnahmen, einschließlich Daten und Nennung der Person, die diese Maßnahmen ergriffen hat;</w:t>
      </w:r>
    </w:p>
    <w:p>
      <w:r>
        <w:t>f) eventuell ergriffene Folgemaßnahmen;</w:t>
      </w:r>
    </w:p>
    <w:p>
      <w:r>
        <w:t>g) an den Beanstander übermittelte Antwort, einschließlich des Datums der Antwort;</w:t>
      </w:r>
    </w:p>
    <w:p>
      <w:r>
        <w:t>h) die abschließende Entscheidung über die betreffende Charge des Zwischenprodukts oder Wirkstoffs.</w:t>
      </w:r>
    </w:p>
    <w:p>
      <w:r>
        <w:t>(3) Wird in einer Charge ein Qualitätsmangel festgestellt oder vermutet, ist zu erwägen, ob eine Überprüfung weiterer Chargen oder gegebenenfalls anderer Produkte notwendig ist, um festzustellen, ob sie davon betroffen sind. Chargen, die möglicherweise Anteile der mangelhaften Charge oder der mangelhaften Bestandteile beinhalten, sind zu untersuchen.</w:t>
      </w:r>
    </w:p>
    <w:p>
      <w:r>
        <w:t>(4) Bei einer Untersuchung ist vorrangig sicherzustellen, dass angemessene Maßnahmen zur Risikominimierung ergriffen werden. Alle getroffenen Entscheidungen und Maßnahmen müssen dem Grad des Risikos Rechnung tragen und dokumentiert werden. Die Wirksamkeit der durchgeführten Abhilfe- und Vorbeugemaßnahmen ist zu überwachen.</w:t>
      </w:r>
    </w:p>
    <w:p>
      <w:r>
        <w:t>(5) Es sind Verfahren für den Rückruf von Wirkstoffen einzuführen, darunter dazu, wie der Rückruf einzuleiten ist, wer im Fall eines Rückrufs zu informieren ist (einschließlich zuständiger Behörden) und wie das rückgerufene Material zu behandeln ist.</w:t>
      </w:r>
    </w:p>
    <w:p>
      <w:pPr>
        <w:pStyle w:val="Heading1"/>
      </w:pPr>
      <w:r>
        <w:t>KAPITEL XVI AUSGELAGERTE TÄTIGKEITEN</w:t>
      </w:r>
    </w:p>
    <w:p>
      <w:pPr>
        <w:pStyle w:val="Heading2"/>
      </w:pPr>
      <w:r>
        <w:t>Artikel 66 Anforderungen an ausgelagerte Tätigkeiten</w:t>
      </w:r>
    </w:p>
    <w:p>
      <w:r>
        <w:t>(1) Die Auslagerung (Outsourcing) von Vorgängen im Zusammenhang mit der Herstellung und Kontrolle von Wirkstoffen geschieht durch einen schriftlichen Vertrag, in dem die Zuständigkeiten jeder Partei klar dargestellt sind.</w:t>
      </w:r>
    </w:p>
    <w:p>
      <w:r>
        <w:t>(2) Der Vertrag muss folgende zusätzliche Aspekte berücksichtigen:</w:t>
      </w:r>
    </w:p>
    <w:p>
      <w:r>
        <w:t>a) der Auftragnehmer muss die gute Herstellungspraxis für Wirkstoffe einhalten;</w:t>
      </w:r>
    </w:p>
    <w:p>
      <w:r>
        <w:t>b) der Auftragnehmer muss Audits durch den Auftraggeber im Zusammenhang mit den ausgelagerten Tätigkeiten zulassen;</w:t>
      </w:r>
    </w:p>
    <w:p>
      <w:r>
        <w:t>c) sämtliche mit den ausgelagerten Tätigkeiten in Zusammenhang stehenden Aufzeichnungen müssen an dem Standort aufbewahrt werden, an dem die Tätigkeit stattfindet, und leicht zugänglich sein;</w:t>
      </w:r>
    </w:p>
    <w:p>
      <w:r>
        <w:t>d) der Auftragnehmer darf keine ihm vom Auftraggeber vertraglich übertragene Arbeit ohne dessen schriftliche Genehmigung an Dritte weitervergeben;</w:t>
      </w:r>
    </w:p>
    <w:p>
      <w:r>
        <w:t>e) der Auftragnehmer darf keine Änderungen am Prozess, der Ausrüstung, den Prüfmethoden, den Spezifikationen oder anderen vertraglichen Anforderungen ohne schriftliche Genehmigung des Auftraggebers vornehmen.</w:t>
      </w:r>
    </w:p>
    <w:p>
      <w:r>
        <w:t>(3) Alle ausgelagerten Herstellungs- oder Kontrolltätigkeiten müssen die gute Herstellungspraxis für Wirkstoffe einhalten, die als Ausgangsstoffe für Tierarzneimittel verwendet werden. Es ist besonders darauf zu achten, Kreuz-Kontaminationen zu verhindern und die Rückverfolgbarkeit zu gewährleisten.</w:t>
      </w:r>
    </w:p>
    <w:p>
      <w:r>
        <w:t>(4) Auftragnehmer sind vom Auftraggeber zu überprüfen, um die Einhaltung der guten Herstellungspraxis für Wirkstoffe, die als Ausgangsstoffe für Tierarzneimittel verwendet werden, hinsichtlich bestimmter, am Vertragsstandort stattfindender Tätigkeiten sicherzustellen.</w:t>
      </w:r>
    </w:p>
    <w:p>
      <w:pPr>
        <w:pStyle w:val="Heading1"/>
      </w:pPr>
      <w:r>
        <w:t>KAPITEL XVII MIT DER UMVERPACKUNG UND UMETIKETTIERUNG BEFASSTE UNTERNEHMEN</w:t>
      </w:r>
    </w:p>
    <w:p>
      <w:pPr>
        <w:pStyle w:val="Heading2"/>
      </w:pPr>
      <w:r>
        <w:t>Artikel 67 Rückverfolgbarkeit von Wirkstoffen und Zwischenprodukten</w:t>
      </w:r>
    </w:p>
    <w:p>
      <w:r>
        <w:t>Mit der Umverpackung und Umetikettierung von Wirkstoffen und ihren Zwischenprodukten befasste Unternehmen müssen die vollständige Rückverfolgbarkeit der Wirkstoffe und Zwischenprodukte sicherstellen, indem sie Aufzeichnungen gemäß Artikel 13 Absatz 3 der Durchführungsverordnung (EU) 2021/1280 über Maßnahmen zur guten Vertriebspraxis für Wirkstoffe, die als Ausgangsstoffe für Tierarzneimittel verwendet werden, führen.</w:t>
      </w:r>
    </w:p>
    <w:p>
      <w:pPr>
        <w:pStyle w:val="Heading2"/>
      </w:pPr>
      <w:r>
        <w:t>Artikel 68 Qualitätsmanagement</w:t>
      </w:r>
    </w:p>
    <w:p>
      <w:r>
        <w:t>(1) Umverpackung, Neukennzeichnung und Lagerung von Wirkstoffen und ihren Zwischenprodukten müssen unter geeigneten Kontrollen in Bezug auf die gute Herstellungspraxis erfolgen, um Verwechslungen und Beeinträchtigungen hinsichtlich der Identität oder Reinheit der Wirkstoffe oder Zwischenprodukte zu vermeiden.</w:t>
      </w:r>
    </w:p>
    <w:p>
      <w:r>
        <w:t>(2) Umverpackungsmaßnahmen haben unter geeigneten Umgebungsbedingungen stattzufinden, um Kontamination und Kreuzkontamination zu vermeiden.</w:t>
      </w:r>
    </w:p>
    <w:p>
      <w:pPr>
        <w:pStyle w:val="Heading2"/>
      </w:pPr>
      <w:r>
        <w:t>Artikel 69 Stabilitätsstudien</w:t>
      </w:r>
    </w:p>
    <w:p>
      <w:r>
        <w:t>Wann immer ein Wirkstoff oder Zwischenprodukt in einen anderen Typ von Behälter als den ursprünglich vom Wirkstoff- oder Zwischenprodukthersteller verwendeten Behälter umverpackt wird, sind Stabilitätsstudien zur Begründung der zugewiesenen Verfalls- oder Wiederholungsprüfungsdaten durchzuführen.</w:t>
      </w:r>
    </w:p>
    <w:p>
      <w:pPr>
        <w:pStyle w:val="Heading2"/>
      </w:pPr>
      <w:r>
        <w:t>Artikel 70 Übermittlung von Informationen</w:t>
      </w:r>
    </w:p>
    <w:p>
      <w:r>
        <w:t>Mit der Umverpackung und Neukennzeichnung befasste Unternehmen müssen:</w:t>
      </w:r>
    </w:p>
    <w:p>
      <w:r>
        <w:t>a) ihren Kunden und den zuständigen Behörden relevante Informationen gemäß Artikel 19 der Durchführungsverordnung (EU) 2021/1280 über Maßnahmen zur guten Vertriebspraxis für Wirkstoffe, die als Ausgangsstoffe für Tierarzneimittel verwendet werden, übermitteln,</w:t>
      </w:r>
    </w:p>
    <w:p>
      <w:r>
        <w:t>b) die Befolgung von Artikel 47 in Bezug auf die Analysezertifikate gewährleisten.</w:t>
      </w:r>
    </w:p>
    <w:p>
      <w:pPr>
        <w:pStyle w:val="Heading1"/>
      </w:pPr>
      <w:r>
        <w:t>KAPITEL XVIII BESONDERE ANFORDERUNGEN FÜR AUS ZELLKULTUREN ODER DURCH FERMENTATION HERGESTELLTE WIRKSTOFFE</w:t>
      </w:r>
    </w:p>
    <w:p>
      <w:pPr>
        <w:pStyle w:val="Heading2"/>
      </w:pPr>
      <w:r>
        <w:t>Artikel 71 Allgemeines</w:t>
      </w:r>
    </w:p>
    <w:p>
      <w:r>
        <w:t>(1) Dieses Kapitel gilt für Wirkstoffe oder deren Zwischenprodukte, die aus Zellkulturen oder durch Fermentation unter Verwendung natürlicher oder rekombinanter Organismen hergestellt werden.</w:t>
      </w:r>
    </w:p>
    <w:p>
      <w:r>
        <w:t>(2) Dieses Kapitel gilt ab dem Punkt, an dem eine Flasche zur Verwendung im Herstellungsprozess eines Wirkstoffs oder seiner Zwischenprodukte aus der Zellbank entnommen wird.</w:t>
      </w:r>
    </w:p>
    <w:p>
      <w:r>
        <w:t>(3) Abhängig von der Quelle, der Zubereitungsmethode oder der vorgesehenen Verwendung des Wirkstoffs oder seines Zwischenprodukts kann bei Wirkstoffen oder Zwischenprodukten, die durch Zellkultur oder Fermentation hergestellt werden, die Kontrolle der mikrobiellen Belastung, der Virenkontamination und der Endotoxine während der Herstellung sowie die Überwachung des Prozesses während geeigneter Stadien erforderlich sein.</w:t>
      </w:r>
    </w:p>
    <w:p>
      <w:r>
        <w:t>(4) Es sind geeignete Ausrüstungs- und Umgebungskontrollen vorzunehmen, um das Risiko einer Kontamination zu minimieren. Die Akzeptanzkriterien für die Umgebungsqualität und die Häufigkeit der Überwachung müssen sich nach dem jeweiligen Produktionsschritt und den Produktionsbedingungen (offene, geschlossene oder abgegrenzte Systeme oder Anlagen) richten.</w:t>
      </w:r>
    </w:p>
    <w:p>
      <w:r>
        <w:t>(5) Bei Prozesskontrollen ist Folgendes zu berücksichtigen:</w:t>
      </w:r>
    </w:p>
    <w:p>
      <w:r>
        <w:t>a) Wartung der Arbeitszellbank, soweit erforderlich;</w:t>
      </w:r>
    </w:p>
    <w:p>
      <w:r>
        <w:t>b) ordnungsgemäße Beimpfung und Vermehrung der Kultur;</w:t>
      </w:r>
    </w:p>
    <w:p>
      <w:r>
        <w:t>c) Kontrolle der kritischen Betriebsparameter während der Fermentation oder Zellkultur;</w:t>
      </w:r>
    </w:p>
    <w:p>
      <w:r>
        <w:t>d) Überwachung des Prozesses auf Zellwachstum, Lebensfähigkeit (für die meisten Zellkulturprozesse) und gegebenenfalls Produktivität;</w:t>
      </w:r>
    </w:p>
    <w:p>
      <w:r>
        <w:t>e) Ernte- und Aufreinigungsverfahren, die Zellen, Zellreste und Medienbestandteile beseitigen, während sie den Wirkstoff oder seine Zwischenprodukte gegen Kontamination, besonders mikrobiologischer Art, und Qualitätsverlust schützen;</w:t>
      </w:r>
    </w:p>
    <w:p>
      <w:r>
        <w:t>f) Überwachung der mikrobiellen Belastung und, sofern erforderlich, der Endotoxinmengen in geeigneten Produktionsstadien;</w:t>
      </w:r>
    </w:p>
    <w:p>
      <w:r>
        <w:t>g) die Fragen in Bezug auf die Virussicherheit, die in der Leitlinie Q5A des Internationalen Rates für die Harmonisierung der technischen Anforderungen an Humanarzneimittel (ICH) beschrieben werden.</w:t>
      </w:r>
    </w:p>
    <w:p>
      <w:r>
        <w:t>(6) Gegebenenfalls ist die Entfernung von Medienbestandteilen, Wirtszellenproteinen, anderen prozessbezogenen Verunreinigungen, produktbezogenen Verunreinigungen und Kontaminanten nachzuweisen.</w:t>
      </w:r>
    </w:p>
    <w:p>
      <w:pPr>
        <w:pStyle w:val="Heading2"/>
      </w:pPr>
      <w:r>
        <w:t>Artikel 72 Zellbankwartung und -protokollierung</w:t>
      </w:r>
    </w:p>
    <w:p>
      <w:r>
        <w:t>(1) Der Zugriff auf Zellbanken ist auf befugtes Personal zu begrenzen.</w:t>
      </w:r>
    </w:p>
    <w:p>
      <w:r>
        <w:t>(2) Zellbanken sind unter Lagerungsbedingungen zu halten, die die Lebensfähigkeit der Zellen erhalten und eine Kontamination verhindern. Die internationale ICH-Leitlinie Q5Aist zu berücksichtigen.</w:t>
      </w:r>
    </w:p>
    <w:p>
      <w:r>
        <w:t>(3) Die Verwendung der Flaschen aus Zellbanken und ihre Lagerungsbedingungen sind zu protokollieren.</w:t>
      </w:r>
    </w:p>
    <w:p>
      <w:r>
        <w:t>(4) Soweit erforderlich müssen Zellbanken regelmäßig auf ihre Anwendungseignung überwacht werden.</w:t>
      </w:r>
    </w:p>
    <w:p>
      <w:pPr>
        <w:pStyle w:val="Heading2"/>
      </w:pPr>
      <w:r>
        <w:t>Artikel 73 Zellkultur oder Fermentation</w:t>
      </w:r>
    </w:p>
    <w:p>
      <w:r>
        <w:t>(1) Wo eine aseptische Zugabe von Zellsubstraten, Medien, Puffern und Gasen notwendig ist, sind, wo immer möglich, geschlossene oder abgegrenzte Systeme zu verwenden. Falls die Beimpfung des anfänglichen Behälters oder anschließende Transfers oder Zugaben (Medien, Pufferlösungen) in offenen Behältern durchgeführt werden, müssen Kontrollen und Verfahren zur Minimierung eines Kontaminationsrisikos vorhanden sein.</w:t>
      </w:r>
    </w:p>
    <w:p>
      <w:r>
        <w:t>(2) Kann die Wirkstoffqualität durch mikrobielle Kontamination beeinträchtigt werden, müssen Manipulationen unter Verwendung offener Behälter in einer Biosicherheitswerkbank oder einer ähnlich kontrollierten Umgebung vorgenommen werden.</w:t>
      </w:r>
    </w:p>
    <w:p>
      <w:r>
        <w:t>(3) Das Personal muss geeignete Schutzkleidung tragen und besondere Vorsichtsmaßnahmen bei der Handhabung der Kulturen befolgen.</w:t>
      </w:r>
    </w:p>
    <w:p>
      <w:r>
        <w:t>(4) Kritische Prozessparameter (z. B. Temperatur, pH-Wert, Rührgeschwindigkeit, Zugabe von Gasen, Druck) sind zu überwachen, um die Einhaltung des festgelegten Prozesses sicherzustellen. Zellwachstum, Lebensfähigkeit (für die meisten Zellkulturprozesse) und gegebenenfalls Produktivität sind ebenfalls zu überwachen. Kritische Parameter unterscheiden sich in der Regel von Prozess zu Prozess und bei der klassischen Fermentation brauchen bestimmte Parameter (z. B. Lebensfähigkeit der Zellen) möglicherweise nicht überwacht zu werden.</w:t>
      </w:r>
    </w:p>
    <w:p>
      <w:r>
        <w:t>(5) Zellkulturausrüstung ist nach ihrer Verwendung zu reinigen und zu sterilisieren. Fermentationsausrüstung ist, falls erforderlich, zu reinigen und zu sanitisieren oder zu sterilisieren.</w:t>
      </w:r>
    </w:p>
    <w:p>
      <w:r>
        <w:t>(6) Nährmedien sind gegebenenfalls vor Verwendung zu sterilisieren, um die Wirkstoffqualität zu schützen.</w:t>
      </w:r>
    </w:p>
    <w:p>
      <w:r>
        <w:t>(7) Es müssen geeignete Verfahren für den Nachweis von Kontamination und die Festlegung der zu ergreifenden Maßnahmen vorhanden sein. Diese Verfahren müssen Anweisungen darüber einschließen, wie die Auswirkungen der Kontamination auf das Produkt bestimmt und wie die Ausrüstung dekontaminiert und in einen Zustand zurückversetzt werden kann, in dem sie für anschließende Chargen verwendbar ist. Fremdorganismen, die während des Fermentationsprozesses festgestellt werden, müssen gegebenenfalls identifiziert, und ihre Wirkung auf die Produktqualität, falls erforderlich, bewertet werden. Die Ergebnisse einer solchen Bewertung sind bei der Verfügung über das hergestellte Material zu berücksichtigen.</w:t>
      </w:r>
    </w:p>
    <w:p>
      <w:r>
        <w:t>(8) Kontaminationsvorfälle sind zu protokollieren.</w:t>
      </w:r>
    </w:p>
    <w:p>
      <w:r>
        <w:t>(9) Die Verwendung von Ausrüstungsgegenständen für mehrere Produkte muss auf einer Risikobewertung beruhen und erfordert möglicherweise eine zusätzliche Reinigung oder Prüfung zwischen verschiedenen Produktkampagnen, um dem Risiko einer Kreuzkontamination vorzubeugen.</w:t>
      </w:r>
    </w:p>
    <w:p>
      <w:pPr>
        <w:pStyle w:val="Heading2"/>
      </w:pPr>
      <w:r>
        <w:t>Artikel 74 Ernte, Isolierung und Aufreinigung</w:t>
      </w:r>
    </w:p>
    <w:p>
      <w:r>
        <w:t>(1) Ernteschritte, entweder zur Entfernung von Zellen oder Zellkomponenten oder zur Gewinnung von Zellkomponenten nach dem Abbruch (der Reaktion), sind mit Ausrüstung und in Bereichen durchzuführen, die so ausgelegt sind, dass das Kontaminationsrisiko minimiert wird.</w:t>
      </w:r>
    </w:p>
    <w:p>
      <w:r>
        <w:t>(2) Ernte- und Aufreinigungsverfahren zur Entfernung oder Inaktivierung von produzierenden Organismen, Zellresten und Medienbestandteilen (während zugleich Abbau, Kontamination und Qualitätsverluste minimiert werden) müssen geeignet sein sicherzustellen, dass das Zwischenprodukt oder der Wirkstoff mit gleichbleibender Qualität gewonnen wird.</w:t>
      </w:r>
    </w:p>
    <w:p>
      <w:r>
        <w:t>(3) Die gesamte Ausrüstung ist nach Gebrauch ordnungsgemäß zu reinigen und gegebenenfalls zu sanitisieren. Es dürfen mehrere Chargen ohne Reinigung hintereinander gefahren werden, wenn die Qualität des Zwischenprodukts oder Wirkstoffs dadurch nicht beeinträchtigt wird.</w:t>
      </w:r>
    </w:p>
    <w:p>
      <w:r>
        <w:t>(4) Werden offene Systeme verwendet, muss die Aufreinigung unter Umgebungsbedingungen stattfinden, die für die Gewährleistung der Produktqualität geeignet sind.</w:t>
      </w:r>
    </w:p>
    <w:p>
      <w:r>
        <w:t>(5) Zusätzliche Kontrollen, wie z. B. die Verwendung von Chromatographie-Harzen für nur ein Produkt oder zusätzliche Prüfungen können erforderlich sein, wenn die Ausrüstung für verschiedene Produkte eingesetzt werden soll. Die Einführung solcher Maßnahmen unterliegt einer Risikobewertung.</w:t>
      </w:r>
    </w:p>
    <w:p>
      <w:pPr>
        <w:pStyle w:val="Heading2"/>
      </w:pPr>
      <w:r>
        <w:t>Artikel 75 Schritte zur Virusentfernung und -inaktivierung</w:t>
      </w:r>
    </w:p>
    <w:p>
      <w:r>
        <w:t>(1) Schritte zur Virusentfernung und -inaktivierung sind innerhalb ihrer validierten Parameter durchzuführen.</w:t>
      </w:r>
    </w:p>
    <w:p>
      <w:r>
        <w:t>(2) Es sind geeignete Vorsichtsmaßnahmen zu treffen, um eine potenzielle Viruskontamination von Schritten vor der Virusbeseitigung oder -inaktivierung auf solche danach zu verhindern. Die offene Verarbeitung ist in Bereichen vorzunehmen, die von anderen Verarbeitungsaktivitäten getrennt sind und über eine separate Belüftungsanlage verfügen.</w:t>
      </w:r>
    </w:p>
    <w:p>
      <w:r>
        <w:t>(3) Für verschiedene Aufreinigungsschritte darf normalerweise nicht dieselbe Ausrüstung verwendet werden. Wird dennoch dieselbe Ausrüstung verwendet, ist diese vor der erneuten Verwendung ordnungsgemäß zu reinigen und zu sanitisieren.</w:t>
      </w:r>
    </w:p>
    <w:p>
      <w:r>
        <w:t>(4) Es sind geeignete Vorsichtsmaßnahmen zu treffen, um eine potenzielle Virusübertragung (z. B. durch die Ausrüstung oder die Umgebung) aus vorherigen Schritten zu verhindern.</w:t>
      </w:r>
    </w:p>
    <w:p>
      <w:pPr>
        <w:pStyle w:val="Heading1"/>
      </w:pPr>
      <w:r>
        <w:t>KAPITEL XIX WISSENSCHAFTLICHE ANFORDERUNGEN AN GAS-WIRKSTOFFE</w:t>
      </w:r>
    </w:p>
    <w:p>
      <w:pPr>
        <w:pStyle w:val="Heading2"/>
      </w:pPr>
      <w:r>
        <w:t>Artikel 76 Gas-Wirkstoffe</w:t>
      </w:r>
    </w:p>
    <w:p>
      <w:r>
        <w:t>(1) Die Produktion von Gas-Wirkstoffen in kontinuierlichen Prozessen (z. B. Lufttrennung) ist ständig auf die Qualität hin zu überwachen. Die Ergebnisse dieser Überwachung sind so aufzubewahren, dass eine Trendanalyse möglich ist.</w:t>
      </w:r>
    </w:p>
    <w:p>
      <w:r>
        <w:t>(2) Transfer und Auslieferungen von kryogenem und verflüssigtem Gas sowie Befüllung und Etikettierung von Gasflaschen und mobilen Flüssiggasbehältern müssen den Anforderungen in Anhang III Abschnitte V.6.1. und V.6.2. der Durchführungsverordnung (EU) 2025/2091 über eine gute Herstellungspraxis für Tierarzneimittel genügen.</w:t>
      </w:r>
    </w:p>
    <w:p>
      <w:pPr>
        <w:pStyle w:val="Heading1"/>
      </w:pPr>
      <w:r>
        <w:t>KAPITEL XX SCHLUSSBESTIMMUNGEN</w:t>
      </w:r>
    </w:p>
    <w:p>
      <w:pPr>
        <w:pStyle w:val="Heading2"/>
      </w:pPr>
      <w:r>
        <w:t>Artikel 77 Inkrafttreten und Geltung</w:t>
      </w:r>
    </w:p>
    <w:p>
      <w:r>
        <w:t>Diese Verordnung tritt am zwanzigsten Tag nach ihrer Veröffentlichung im Amtsblatt der Europäischen Union in Kraft.</w:t>
      </w:r>
    </w:p>
    <w:p>
      <w:r>
        <w:t>Sie gilt ab dem 16. Juli 2026.</w:t>
      </w:r>
    </w:p>
    <w:p>
      <w:r>
        <w:t>Diese Verordnung ist in allen ihren Teilen verbindlich und gilt unmittelbar in jedem Mitgliedstaat.</w:t>
      </w:r>
    </w:p>
    <w:p>
      <w:r>
        <w:t>Brüssel, den 17. Oktober 2025</w:t>
      </w:r>
    </w:p>
    <w:p>
      <w:pPr>
        <w:pStyle w:val="Heading1"/>
      </w:pPr>
      <w:r>
        <w:t>ANHANG Ausgangspunkt der Herstellung von Wirkstoffen</w:t>
      </w:r>
    </w:p>
    <w:p>
      <w:r>
        <w:t>In der folgenden Tabelle wird veranschaulicht, an welchem Punkt der Ausgangsstoff für den Wirkstoff üblicherweise in den Herstellungsprozess eingebracht wird.</w:t>
      </w:r>
    </w:p>
    <w:p>
      <w:r>
        <w:rPr>
          <w:b/>
        </w:rPr>
        <w:t>Tabelle (zeilenweise wiedergegeben):</w:t>
      </w:r>
    </w:p>
    <w:p>
      <w:pPr>
        <w:pStyle w:val="ListBullet"/>
      </w:pPr>
      <w:r>
        <w:t>Herstellungstyp: chemische Herstellung; Schritte bei der Herstellung von Wirkstoffen: Produktion des Ausgangsstoffs für den Wirkstoff.</w:t>
      </w:r>
    </w:p>
    <w:p>
      <w:pPr>
        <w:pStyle w:val="ListBullet"/>
      </w:pPr>
      <w:r>
        <w:t>Herstellungstyp: aus tierischen Quellen stammender Wirkstoff; Schritte bei der Herstellung von Wirkstoffen: Gewinnung des Organs, der Flüssigkeit oder des Gewebes.</w:t>
      </w:r>
    </w:p>
    <w:p>
      <w:pPr>
        <w:pStyle w:val="ListBullet"/>
      </w:pPr>
      <w:r>
        <w:t>Herstellungstyp: aus pflanzlichen Quellen extrahierter Wirkstoff; Schritte bei der Herstellung von Wirkstoffen: Gewinnung der Pflanzen.</w:t>
      </w:r>
    </w:p>
    <w:p>
      <w:pPr>
        <w:pStyle w:val="ListBullet"/>
      </w:pPr>
      <w:r>
        <w:t>Herstellungstyp: als Wirkstoff verwendete Kräuterextrakte; Schritte bei der Herstellung von Wirkstoffen: Gewinnung der Pflanzen.</w:t>
      </w:r>
    </w:p>
    <w:p>
      <w:pPr>
        <w:pStyle w:val="ListBullet"/>
      </w:pPr>
      <w:r>
        <w:t>Herstellungstyp: aus zerkleinerten oder pulverisierten Kräutern bestehender Wirkstoff; Schritte bei der Herstellung von Wirkstoffen: Gewinnung der Pflanzen und/oder Anbau und Ernte.</w:t>
      </w:r>
    </w:p>
    <w:p>
      <w:pPr>
        <w:pStyle w:val="ListBullet"/>
      </w:pPr>
      <w:r>
        <w:t>Herstellungstyp: Biotechnologie: Fermentation/Zellkultur; Schritte bei der Herstellung von Wirkstoffen: Anlegen einer Masterzellbank und einer Arbeitszellbank.</w:t>
      </w:r>
    </w:p>
    <w:p>
      <w:pPr>
        <w:pStyle w:val="ListBullet"/>
      </w:pPr>
      <w:r>
        <w:t>Herstellungstyp: „klassische“ Fermentation zur Wirkstoffherstellung; Schritte bei der Herstellung von Wirkstoffen: Anlegen einer Zellbank.</w:t>
      </w:r>
    </w:p>
    <w:p>
      <w:pPr>
        <w:pStyle w:val="ListBullet"/>
      </w:pPr>
      <w:r>
        <w:t>Herstellungstyp: Die Schritte bei der Herstellung von Wirkstoffen, für die die vorliegende Verordnung gilt, sind grau hinterlegt.</w:t>
      </w:r>
    </w:p>
    <w:p>
      <w:r>
        <w:t>ELI: http://data.europa.eu/eli/reg_impl/2025/2154/oj</w:t>
      </w:r>
    </w:p>
    <w:p>
      <w:r>
        <w:t>ISSN 1977-0642 (electronic edition)</w:t>
      </w:r>
    </w:p>
    <w:p>
      <w:pPr>
        <w:pStyle w:val="Heading2"/>
      </w:pPr>
      <w:r>
        <w:t>Fußnoten</w:t>
      </w:r>
    </w:p>
    <w:p>
      <w:r>
        <w:t>Fußnote (1) ABl. L 4 vom 7.1.2019, S. 43, ELI: http://data.europa.eu/eli/reg/2019/6/oj.</w:t>
      </w:r>
    </w:p>
    <w:p>
      <w:r>
        <w:t>Fußnote (2) Durchführungsverordnung (EU) 2025/2091 der Kommission vom 17. Oktober 2025 zur Festlegung einer guten Herstellungspraxis für Tierarzneimittel gemäß der Verordnung (EU) 2019/6 des Europäischen Parlaments und des Rates (ABl. L, 2025/2091, 27.10.2025, ELI: http://data.europa.eu/eli/reg_impl/2025/2091/oj).</w:t>
      </w:r>
    </w:p>
    <w:p>
      <w:r>
        <w:t>Fußnote (3) Richtlinie 2001/82/EG des Europäischen Parlaments und des Rates vom 6. November 2001 zur Schaffung eines Gemeinschaftskodexes für Tierarzneimittel (ABl. L 311 vom 28.11.2001, S. 1, ELI: http://data.europa.eu/eli/dir/2001/82/oj).</w:t>
      </w:r>
    </w:p>
    <w:p>
      <w:r>
        <w:t>Fußnote (4) Verordnung (EU) Nr. 910/2014 des Europäischen Parlaments und des Rates vom 23. Juli 2014 über elektronische Identifizierung und Vertrauensdienste für elektronische Transaktionen im Binnenmarkt und zur Aufhebung der Richtlinie 1999/93/EG (ABl. L 257 vom 28.8.2014, S. 73, ELI: http://data.europa.eu/eli/reg/2014/910/oj).</w:t>
      </w:r>
    </w:p>
    <w:p>
      <w:r>
        <w:t>Fußnote (5) Europäische Arzneimittel-Agentur, „Guideline on Stability: stability testing of new veterinary drug substances and medicinal products“ (EMEA/CVMP/VICH/899/99).</w:t>
      </w:r>
    </w:p>
    <w:p>
      <w:r>
        <w:t>Fußnote (6) Europäische Arzneimittel-Agentur, „Guideline on validation of analytical procedures: methodology“ (EMEA/CVMP/VICH/591/98).</w:t>
      </w:r>
    </w:p>
    <w:p>
      <w:r>
        <w:t>Fußnote (7) Durchführungsverordnung (EU) 2021/1280 der Kommission vom 2. August 2021 über Maßnahmen zur guten Vertriebspraxis für Wirkstoffe, die als Ausgangsstoffe für Tierarzneimittel verwendet werden, gemäß der Verordnung (EU) 2019/6 des Europäischen Parlaments und des Rates (ABl. L 279 vom 3.8.2021, S. 1, ELI: http://data.europa.eu/eli/reg_impl/2021/1280/oj).</w:t>
      </w:r>
    </w:p>
    <w:p>
      <w:r>
        <w:t>Fußnote (8) ICH Q5A Guideline on viral safety evaluation of biotechnology products derived from cell lines of human or animal origin.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2025-2154 GMP Wirkstoffe (3 von 3) Kap XII-XX VALIDIERUNG, ÄNDERUNGSKONTROLLE</dc:title>
  <dc:subject>Amtsblatt der EU, CELEX 32025R2154, https://eur-lex.europa.eu/legal-content/DE/TXT/?uri=CELEX:32025R2154</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