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Tierarzneimittel Verordnung (EU) 2019-6 (12 von 12) Anhang III-IV Teil 6 Quellenangaben, Teil 2, Teil 3</w:t>
      </w:r>
    </w:p>
    <w:p>
      <w:r>
        <w:t>Quelle: Amtsblatt der EU, CELEX 32019R0006, https://eur-lex.europa.eu/legal-content/DE/TXT/?uri=CELEX:32019R0006</w:t>
      </w:r>
    </w:p>
    <w:p>
      <w:pPr>
        <w:pStyle w:val="Heading1"/>
      </w:pPr>
      <w:r>
        <w:t>TEIL 6 Quellenangaben</w:t>
      </w:r>
    </w:p>
    <w:p>
      <w:r>
        <w:t>Alle in der Zusammenfassung gemäß Teil 1 genannten Quellenangaben sind im Einzelnen aufzulisten und in Kopie vorzulegen.</w:t>
      </w:r>
    </w:p>
    <w:p>
      <w:pPr>
        <w:pStyle w:val="Heading2"/>
      </w:pPr>
      <w:r>
        <w:t>TITEL III</w:t>
      </w:r>
    </w:p>
    <w:p>
      <w:pPr>
        <w:pStyle w:val="Heading2"/>
      </w:pPr>
      <w:r>
        <w:t>Vorschriften für bestimmte zulassungsanträge</w:t>
      </w:r>
    </w:p>
    <w:p>
      <w:pPr>
        <w:pStyle w:val="Heading2"/>
      </w:pPr>
      <w:r>
        <w:t>1. Tierarzneimittel-Generika</w:t>
      </w:r>
    </w:p>
    <w:p>
      <w:r>
        <w:t>Anträge aufgrund von Artikel 13 (generische Tierarzneimittel) müssen enthalten: die in Titel I Teile 1 und 2 dieses Anhangs genannten Daten zusammen mit einer Umweltverträglichkeitsprüfung, Daten, die belegen, dass das Arzneimittel dieselbe qualitative und quantitative Wirkstoffzusammensetzung und dieselbe Darreichungsform aufweist wie das Referenzarzneimittel, sowie Daten, die die Bioäquivalenz mit dem Referenzarzneimittel zeigen. Handelt es sich bei dem Referenzarzneimittel um ein biologisches Arzneimittel, sind die Dokumentationsvorschriften von Abschnitt 2 für ähnliche biologische Tierarzneimittel zu erfüllen.</w:t>
      </w:r>
    </w:p>
    <w:p>
      <w:r>
        <w:t>Bei generischen Tierarzneimitteln müssen die ausführlichen kritischen Zusammenfassungen über die Unbedenklichkeit und Wirksamkeit insbesondere auf folgende Elemente abstellen:</w:t>
      </w:r>
    </w:p>
    <w:p>
      <w:r>
        <w:t>— die Begründung für die Behauptung der wesentlichen Gleichheit,</w:t>
      </w:r>
    </w:p>
    <w:p>
      <w:r>
        <w:t>— eine Zusammenstellung der auftretenden Verunreinigungen in Chargen der Wirkstoffe und des Fertigarzneimittels (sowie gegebenenfalls die während der Lagerung auftretenden Zersetzungsprodukte), wie sie für das Arzneimittel angegeben werden, das in Verkehr gebracht werden soll, sowie die Bewertung dieser Verunreinigungen,</w:t>
      </w:r>
    </w:p>
    <w:p>
      <w:r>
        <w:t>— eine Bewertung der Bioäquivalenzstudien bzw. eine Begründung, warum keine Studien unter Beachtung festgelegter Leitfäden durchgeführt wurden,</w:t>
      </w:r>
    </w:p>
    <w:p>
      <w:r>
        <w:t>— sofern zutreffend, müssen vom Antragsteller ergänzende Daten vorgelegt werden, die die Gleichwertigkeit in Bezug auf Unbedenklichkeit und Wirksamkeit unterschiedlicher Salze, Ester oder Derivate eines zugelassenen Wirkstoffs belegen; derartige Daten müssen belegen, dass es zu keiner Veränderung bei der Pharmakokinetik oder Pharmakodynamik des therapeutisch wirksamen Anteils und/oder bei der Toxizität kommt, die sich auf das Unbedenklichkeits-/Wirksamkeitsprofil auswirken könnte.</w:t>
      </w:r>
    </w:p>
    <w:p>
      <w:r>
        <w:t>Jede Behauptung in der Zusammenfassung der Merkmale des Arzneimittels, die nicht anhand der Eigenschaften des Arzneimittels und/oder seiner therapeutischen Kategorie erkennbar oder daraus ableitbar ist, sollte in den präklinischen/klinischen Übersichten/Zusammenfassungen erörtert und durch erschienene Veröffentlichungen und/oder zusätzliche Studien erhärtet werden.</w:t>
      </w:r>
    </w:p>
    <w:p>
      <w:r>
        <w:t>Bei generischen Tierarzneimitteln, die intramuskulär, subkutan oder transdermal verabreicht werden sollen, sind folgende zusätzliche Daten vorzulegen:</w:t>
      </w:r>
    </w:p>
    <w:p>
      <w:r>
        <w:t>— Belege zum Nachweis eines gleichwertigen oder abweichenden Abbaus von Rückständen an der Verabreichungsstelle, die durch geeignete Untersuchungen über den Rückstandsabbau erhärtet werden können,</w:t>
      </w:r>
    </w:p>
    <w:p>
      <w:r>
        <w:t>— Belege zum Nachweis der Verträglichkeit an der Verabreichungsstelle beim Zieltier, die durch geeignete Verträglichkeitsstudien beim Zieltier erhärtet werden können.</w:t>
      </w:r>
    </w:p>
    <w:p>
      <w:pPr>
        <w:pStyle w:val="Heading2"/>
      </w:pPr>
      <w:r>
        <w:t>2. Biologische Arzneimittel, die im Wesentlichen einem bereits zugelassenen Tierarzneimittel gleichen</w:t>
      </w:r>
    </w:p>
    <w:p>
      <w:r>
        <w:t>Falls gemäß Artikel 13 Absatz 4 ein biologisches Tierarzneimittel, das einem biologischen Referenztierarzneimittel ähnlich ist, die in der Definition von Generika enthaltenen Bedingungen nicht erfüllt, dürfen sich die vorzulegenden Informationen nicht auf die Teile 1 und 2 (pharmazeutische, chemische und biologische Daten), ergänzt durch Daten zur Bioäquivalenz und Bioverfügbarkeit, beschränken. In solchen Fällen sind zusätzliche Daten, insbesondere über die Unbedenklichkeit und Wirksamkeit des Arzneimittels, vorzulegen.</w:t>
      </w:r>
    </w:p>
    <w:p>
      <w:r>
        <w:t>— Die Art und Menge der zusätzlichen Daten (d. h. toxikologische und andere Unbedenklichkeitsversuche und sachdienliche klinische Untersuchungen) sind je nach Einzelfall entsprechend den einschlägigen wissenschaftlichen Leitlinien festzulegen.</w:t>
      </w:r>
    </w:p>
    <w:p>
      <w:r>
        <w:t>— Aufgrund der Verschiedenartigkeit von biologischen Tierarzneimitteln ist von der zuständigen Behörde unter Berücksichtigung der spezifischen Merkmale jedes einzelnen biologischen Tierarzneimittels festzulegen, welche der in den Teilen 3 und 4 vorgesehenen Studien verlangt werden müssen.</w:t>
      </w:r>
    </w:p>
    <w:p>
      <w:r>
        <w:t>Die geltenden allgemeinen Grundsätze sind von der Agentur in einer von ihr zu veröffentlichenden Leitlinie vorzugeben, in der die Merkmale des betreffenden biologischen Tierarzneimittels berücksichtigt werden. Hat das biologische Referenztierarzneimittel mehr als eine Indikation, so sind Wirksamkeit und Unbedenklichkeit des diesem angeblich gleichen biologischen Tierarzneimittels zu begründen oder, falls erforderlich, für jede der behaupteten Indikationen einzeln nachzuweisen.</w:t>
      </w:r>
    </w:p>
    <w:p>
      <w:pPr>
        <w:pStyle w:val="Heading2"/>
      </w:pPr>
      <w:r>
        <w:t>3. Allgemeine tiermedizinische Verwendung</w:t>
      </w:r>
    </w:p>
    <w:p>
      <w:r>
        <w:t>Bei Tierarzneimitteln gemäß Artikel 13a, deren Wirkstoffe „allgemein tiermedizinisch verwendet“ werden und die eine anerkannte Wirksamkeit sowie einen annehmbaren Grad an Unbedenklichkeit aufweisen, gelten die folgenden Sonderregelungen.</w:t>
      </w:r>
    </w:p>
    <w:p>
      <w:r>
        <w:t>Der Antragsteller muss die Teile 1 und 2, wie in Titel I dieses Anhangs beschrieben, vorlegen.</w:t>
      </w:r>
    </w:p>
    <w:p>
      <w:r>
        <w:t>In Bezug auf die Teile 3 und 4 müssen alle Aspekte der Unbedenklichkeit und Wirksamkeit in einer ausführlichen wissenschaftlichen Bibliografie erfasst werden.</w:t>
      </w:r>
    </w:p>
    <w:p>
      <w:r>
        <w:t>Die nachstehenden spezifischen Regeln gelten für den Nachweis der allgemeinen tiermedizinischen Verwendung:</w:t>
      </w:r>
    </w:p>
    <w:p>
      <w:r>
        <w:t>3.1. Für den Nachweis, dass Bestandteile von Tierarzneimitteln allgemein tiermedizinisch verwendet werden, sind folgende Faktoren maßgeblich:</w:t>
      </w:r>
    </w:p>
    <w:p>
      <w:r>
        <w:t>a) der Zeitraum, über den ein Wirkstoff verwendet wurde,</w:t>
      </w:r>
    </w:p>
    <w:p>
      <w:r>
        <w:t>b) die quantitativen Aspekte der Verwendung des Wirkstoffs,</w:t>
      </w:r>
    </w:p>
    <w:p>
      <w:r>
        <w:t>c) der Umfang des wissenschaftlichen Interesses an der Verwendung des Wirkstoffs (wie er aus den dazu erschienenen wissenschaftlichen Veröffentlichungen hervorgeht),</w:t>
      </w:r>
    </w:p>
    <w:p>
      <w:r>
        <w:t>d) die Einheitlichkeit der wissenschaftlichen Beurteilung.</w:t>
      </w:r>
    </w:p>
    <w:p>
      <w:r>
        <w:t>Bei verschiedenen Stoffen können zum Nachweis ihrer allgemeinen tiermedizinischen Verwendung auch unterschiedliche Zeiträume erforderlich sein. Der Nachweis der allgemeinen tiermedizinischen Verwendung eines Arzneimittelbestandteils darf jedoch frühestens zehn Jahre, nachdem der betreffende Stoff erstmals systematisch und dokumentiert in der Gemeinschaft als Tierarzneimittel verwendet wurde, erbracht werden.</w:t>
      </w:r>
    </w:p>
    <w:p>
      <w:r>
        <w:t>3.2. Der Antragsteller muss in den Unterlagen, die er einreicht, auf alle Aspekte der Beurteilung der Unbedenklichkeit und/oder Wirksamkeit des Arzneimittels für die vorgeschlagene Indikation bei der Zieltierart unter Verwendung des vorgeschlagenen Verabreichungswegs und Dosierungsschemas eingehen. Sie müssen einen Überblick über die einschlägigen Veröffentlichungen umfassen bzw. auf einen solchen verweisen; dabei sind vor und nach dem Inverkehrbringen durchgeführte Studien und wissenschaftliche Veröffentlichungen über die Erfahrungen aus epidemiologischen Studien, insbesondere vergleichenden epidemiologischen Studien, zu berücksichtigen. Alle Unterlagen, sowohl günstige als auch ungünstige, sind vorzulegen. In Bezug auf die Vorschriften über die allgemeine tiermedizinische Verwendung ist insbesondere zu präzisieren, dass auch ein bibliografischer Verweis auf andere Informationsquellen (beispielsweise Untersuchungen nach dem Inverkehrbringen, epidemiologische Studien usw.) und nicht nur Daten von Versuchen und Prüfungen als gültiger Nachweis für die Unbedenklichkeit und Wirksamkeit eines Arzneimittels dienen können, wenn in dem Antrag hinreichend erläutert und begründet wird, warum diese Informationsquellen angeführt werden.</w:t>
      </w:r>
    </w:p>
    <w:p>
      <w:r>
        <w:t>3.3. Besondere Aufmerksamkeit ist auf etwaige fehlende Informationen zu richten und es ist zu begründen, warum der Nachweis eines annehmbaren Grades an Unbedenklichkeit und/oder Wirksamkeit erbracht werden kann, obwohl bestimmte Studien fehlen.</w:t>
      </w:r>
    </w:p>
    <w:p>
      <w:r>
        <w:t>3.4. Aus den ausführlichen kritischen Zusammenfassungen über die Unbedenklichkeit und Wirksamkeit muss hervorgehen, inwiefern vorgelegte Daten, die ein anderes als das in Verkehr zu bringende Arzneimittel betreffen, relevant sind. Es ist zu beurteilen, ob das geprüfte Arzneimittel trotz der bestehenden Unterschiede als demjenigen Arzneimittel gleich betrachtet werden kann, für das der Antrag auf Genehmigung für das Inverkehrbringen gestellt wurde.</w:t>
      </w:r>
    </w:p>
    <w:p>
      <w:r>
        <w:t>3.5. Nach dem Inverkehrbringen gemachte Erfahrungen mit anderen Arzneimitteln, die die gleichen Bestandteile enthalten, sind von besonderer Bedeutung, und die Antragsteller müssen diesen Aspekt besonders berücksichtigen.</w:t>
      </w:r>
    </w:p>
    <w:p>
      <w:pPr>
        <w:pStyle w:val="Heading2"/>
      </w:pPr>
      <w:r>
        <w:t>4. Tierarzneimittel aus kombinierten Wirkstoffen</w:t>
      </w:r>
    </w:p>
    <w:p>
      <w:r>
        <w:t>Bei Anträgen aufgrund von Artikel 13b ist ein Dossier mit den Teilen 1, 2, 3 und 4 für das Tierarzneimittel aus kombinierten Wirkstoffen einzureichen. Es ist nicht erforderlich, Studien zur Unbedenklichkeit und Wirksamkeit jedes einzelnen Wirkstoffs vorzulegen. Es soll aber möglich sein, in den Antrag für eine fixe Wirkstoffkombination Informationen über die einzelnen Wirkstoffe aufzunehmen. Die Vorlage von Daten über jeden einzelnen Wirkstoff zusammen mit den vorgeschriebenen Studien über die Anwendersicherheit, Studien über den Rückstandsabbau und klinischen Studien über das Arzneimittel mit fixer Kombination können als angemessene Begründung dafür gelten, dass keine Daten über das Kombinationsarzneimittel vorgelegt werden, um unnötige Tierversuche im Interesse des Wohlergehens der Tiere zu vermeiden, es sei denn, es besteht Verdacht auf Wechselwirkungen, die zu verstärkter Toxizität führen. Gegebenenfalls sind Angaben zu den Herstellungsstandorten und zur Unbedenklichkeitsbewertung von möglichen Kontaminanten vorzulegen.</w:t>
      </w:r>
    </w:p>
    <w:p>
      <w:pPr>
        <w:pStyle w:val="Heading2"/>
      </w:pPr>
      <w:r>
        <w:t>5. Anträge aufgrund einer in Kenntnis der Sachlage erteilten Einwilligung des Genehmigungsinhabers</w:t>
      </w:r>
    </w:p>
    <w:p>
      <w:r>
        <w:t>Anträge, die auf Artikel 13c beruhen, müssen die unter Titel 1 Teil 1 dieses Anhangs beschriebenen Angaben enthalten, vorausgesetzt der Antragsteller hat die Einwilligung des Inhabers der Genehmigung für das Inverkehrbringen des ursprünglichen Tierarzneimittels erhalten, dass er auf den Inhalt der Teile 2, 3 und 4 des Dossiers dieses Arzneimittels zurückgreifen darf. In diesem Fall brauchen keine ausführlichen kritischen Zusammenfassungen über die Qualität, Unbedenklichkeit und Wirksamkeit vorgelegt zu werden.</w:t>
      </w:r>
    </w:p>
    <w:p>
      <w:pPr>
        <w:pStyle w:val="Heading2"/>
      </w:pPr>
      <w:r>
        <w:t>6. Unterlagen für Anträge unter außergewöhnlichen Umständen</w:t>
      </w:r>
    </w:p>
    <w:p>
      <w:r>
        <w:t>Eine Genehmigung für das Inverkehrbringen kann vorbehaltlich ganz bestimmter Verpflichtungen erteilt werden: Falls der Antragsteller, wie in Artikel 26 Absatz 3 dieser Richtlinie festgelegt, nachweisen kann, dass er keine vollständigen Auskünfte über die Wirksamkeit und Unbedenklichkeit bei bestimmungsgemäßem Gebrauch erteilen kann, muss er besondere Verfahren einführen, die insbesondere die Unbedenklichkeit und Wirksamkeit des Tierarzneimittels betreffen.</w:t>
      </w:r>
    </w:p>
    <w:p>
      <w:r>
        <w:t>Wesentliche Vorschriften für alle in diesem Abschnitt genannten Anträge sollten anhand von Leitlinien festgelegt werden, die von der Agentur zu verabschieden sind.</w:t>
      </w:r>
    </w:p>
    <w:p>
      <w:pPr>
        <w:pStyle w:val="Heading2"/>
      </w:pPr>
      <w:r>
        <w:t>7. Kombinierte Genehmigungsanträge</w:t>
      </w:r>
    </w:p>
    <w:p>
      <w:r>
        <w:t>Unter kombinierten Anträgen auf Genehmigung für das Inverkehrbringen sind Anträge zu verstehen, bei denen der Teil 3 und/oder der Teil 4 des Dossiers aus vom Antragsteller durchgeführten Unbedenklichkeits- und Wirksamkeitsstudien sowie aus bibliografischen Unterlagen bestehen. Alle übrigen Teile entsprechen dem in Titel I Teil 1 dieses Anhangs beschriebenen Aufbau. Die zuständige Behörde entscheidet je nach Einzelfall, ob die vom Antragsteller vorgelegte Form zulässig ist.</w:t>
      </w:r>
    </w:p>
    <w:p>
      <w:pPr>
        <w:pStyle w:val="Heading2"/>
      </w:pPr>
      <w:r>
        <w:t>TITEL IV</w:t>
      </w:r>
    </w:p>
    <w:p>
      <w:pPr>
        <w:pStyle w:val="Heading2"/>
      </w:pPr>
      <w:r>
        <w:t>Vorschriften für zulassungsanträge für besondere tierarzneimittel</w:t>
      </w:r>
    </w:p>
    <w:p>
      <w:r>
        <w:t>In diesem Teil werden für bestimmte Tierarzneimittel je nach Eigenart der darin enthaltenen Wirkstoffe spezifische Vorschriften festgelegt.</w:t>
      </w:r>
    </w:p>
    <w:p>
      <w:pPr>
        <w:pStyle w:val="Heading2"/>
      </w:pPr>
      <w:r>
        <w:t>1. Immunologische tierarzneimittel</w:t>
      </w:r>
    </w:p>
    <w:p>
      <w:pPr>
        <w:pStyle w:val="Heading2"/>
      </w:pPr>
      <w:r>
        <w:t>A. IMPFANTIGEN-STAMMDOKUMENTATION</w:t>
      </w:r>
    </w:p>
    <w:p>
      <w:r>
        <w:t>Für bestimmte immunologische Tierarzneimittel wird abweichend von den Vorschriften für Wirkstoffe in Titel II Teil 2 Abschnitt C das Konzept einer Impfantigen-Stammdokumentation eingeführt.</w:t>
      </w:r>
    </w:p>
    <w:p>
      <w:r>
        <w:t>Im Sinne dieses Anhangs ist unter einer Impfantigen-Stammdokumentation ein eigenständiger Teil des Antragsdossiers für einen Impfstoff zu verstehen, in dem alle sachdienlichen Angaben zur Qualität jedes einzelnen Wirkstoffs, der Bestandteil dieses Tierarzneimittels ist, enthalten sind. Dieser eigenständige Teil kann für einen oder für mehrere monovalente und/oder kombinierte Impfstoffe gemeinsam gelten, die vom gleichen Antragsteller oder Genehmigungsinhaber eingereicht werden.</w:t>
      </w:r>
    </w:p>
    <w:p>
      <w:r>
        <w:t>Wissenschaftliche Leitfäden für die Einreichung und Bewertung einer Impfantigen-Stammdokumentation sind von der Agentur zu verabschieden. Das Verfahren für die Einreichung und Bewertung einer Impfantigen-Stammdokumentation richtet sich nach den Leitlinien, die die Kommission unter folgendem Titel veröffentlicht hat: Regelung der Arzneimittel in der Europäischen Union, Band 6B, Mitteilung an die Antragsteller.</w:t>
      </w:r>
    </w:p>
    <w:p>
      <w:pPr>
        <w:pStyle w:val="Heading2"/>
      </w:pPr>
      <w:r>
        <w:t>B. MULTI-STRAIN-DOSSIER</w:t>
      </w:r>
    </w:p>
    <w:p>
      <w:r>
        <w:t>Für bestimmte immunologische Tierarzneimittel (Maul- und Klauenseuche, aviäre Influenza und Blauzungenkrankheit) wird abweichend von den Vorschriften für Wirkstoffe in Titel II Teil 2 Abschnitt C das Konzept eines Multi-Strain-Dossiers eingeführt.</w:t>
      </w:r>
    </w:p>
    <w:p>
      <w:r>
        <w:t>Unter einem Multi-Strain-Dossier ist ein Einzeldossier zu verstehen, das die sachdienlichen Daten für eine einmalige gründliche wissenschaftliche Beurteilung der verschiedenen möglichen Stämme/Kombinationen von Stämmen enthält und die Genehmigung von Impfstoffen gegen antigenvariable Viren ermöglicht.</w:t>
      </w:r>
    </w:p>
    <w:p>
      <w:r>
        <w:t>Wissenschaftliche Leitlinien für die Einreichung und Bewertung von Multi- Strain-Dossiers sind von der Agentur zu verabschieden. Das Verfahren für die Einreichung und Bewertung eines Multi-Strain-Dossiers richtet sich nach den Leitlinien, die die Kommission unter folgendem Titel veröffentlicht hat: Regelung der Arzneimittel in der Europäischen Union, Band 6B, Mitteilung an die Antragsteller.</w:t>
      </w:r>
    </w:p>
    <w:p>
      <w:pPr>
        <w:pStyle w:val="Heading2"/>
      </w:pPr>
      <w:r>
        <w:t>2. Homöopathische tierarzneimittel</w:t>
      </w:r>
    </w:p>
    <w:p>
      <w:r>
        <w:t>In diesem Abschnitt werden die spezifischen Bestimmungen zur Anwendung von Titel I Teile 2 und 3 bei homöopathischen Arzneimitteln, wie in Artikel 1 Absatz 8 definiert, ausgeführt.</w:t>
      </w:r>
    </w:p>
    <w:p>
      <w:pPr>
        <w:pStyle w:val="Heading1"/>
      </w:pPr>
      <w:r>
        <w:t>TEIL 2</w:t>
      </w:r>
    </w:p>
    <w:p>
      <w:r>
        <w:t>Die Bestimmungen von Teil 2 gelten für die Unterlagen, die gemäß Artikel 18 für die vereinfachte Registrierung von in Artikel 17 Absatz 1 genannten homöopathischen Tierarzneimitteln sowie für die Genehmigung weiterer in Artikel 19 Absatz 1 genannter homöopathischer Tierarzneimittel eingereicht wurden, mit den nachstehend aufgeführten Änderungen.</w:t>
      </w:r>
    </w:p>
    <w:p>
      <w:pPr>
        <w:pStyle w:val="Heading2"/>
      </w:pPr>
      <w:r>
        <w:t>a) Terminologie</w:t>
      </w:r>
    </w:p>
    <w:p>
      <w:r>
        <w:t>Die lateinische Bezeichnung der im Antragsdossier beschriebenen homöopathischen Ursubstanz muss mit der lateinischen Bezeichnung des Europäischen Arzneibuchs oder — sollte diese darin fehlen — eines amtlichen Arzneibuchs eines Mitgliedstaats übereinstimmen. Gegebenenfalls ist anzugeben, welche traditionellen Benennungen in den einzelnen Mitgliedstaaten verwendet werden.</w:t>
      </w:r>
    </w:p>
    <w:p>
      <w:pPr>
        <w:pStyle w:val="Heading2"/>
      </w:pPr>
      <w:r>
        <w:t>b) Kontrolle der Ausgangsstoffe</w:t>
      </w:r>
    </w:p>
    <w:p>
      <w:r>
        <w:t>Die dem Antrag beigefügten Angaben und Unterlagen zu den Ausgangsstoffen, d. h. zu allen verwendeten Stoffen, einschließlich der Rohstoffe und Zwischenprodukte bis hin zur endgültigen Verdünnung, die in dem homöopathischen Fertigtierarzneimittel verarbeitet werden sollen, sind durch zusätzliche Daten zur homöopathischen Ursubstanz zu ergänzen.</w:t>
      </w:r>
    </w:p>
    <w:p>
      <w:r>
        <w:t>Die allgemeinen Qualitätsanforderungen gelten für sämtliche Ausgangs- und Rohstoffe sowie für alle Zwischenschritte des Herstellungsprozesses bis hin zur endgültigen Verdünnung, die in dem homöopathischen Fertigarzneimittel verarbeitet werden sollen. Falls ein toxischer Bestandteil enthalten ist, sollte dieser möglichst in der endgültigen Verdünnung kontrolliert werden. Ist dies aufgrund des hohen Verdünnungsgrades jedoch nicht möglich, ist dieser toxische Bestandteil üblicherweise in einem früheren Stadium zu kontrollieren. Jeder Herstellungsschritt von den Ausgangsstoffen bis hin zur endgültigen Verdünnung, die in dem Fertigerzeugnis verarbeitet werden sollen, ist vollständig zu beschreiben.</w:t>
      </w:r>
    </w:p>
    <w:p>
      <w:r>
        <w:t>Im Fall von Verdünnungen sollten die Verdünnungsschritte in Übereinstimmung mit den homöopathischen Herstellungsverfahren erfolgen, die in der einschlägigen Monographie des Europäischen Arzneibuchs oder, falls dort nicht vorhanden, in einem offiziellen Arzneibuch eines Mitgliedstaats festgelegt sind.</w:t>
      </w:r>
    </w:p>
    <w:p>
      <w:pPr>
        <w:pStyle w:val="Heading2"/>
      </w:pPr>
      <w:r>
        <w:t>c) Kontrollprüfungen des Fertigarzneimittels</w:t>
      </w:r>
    </w:p>
    <w:p>
      <w:r>
        <w:t>Die allgemeinen Qualitätsanforderungen gelten für das fertige homöopathische Tierarzneimittel. Jede Ausnahme ist vom Antragsteller hinreichend zu begründen.</w:t>
      </w:r>
    </w:p>
    <w:p>
      <w:r>
        <w:t>Die Identität und der Gehalt aller toxikologisch relevanten Bestandteile sind zu bestimmen. Lässt sich begründen, dass eine Identitäts-/Gehaltsbestimmung aller toxikologisch relevanten Bestandteile z. B. wegen ihrer Verdünnung im Fertigarzneimittel nicht möglich ist, so ist die Qualität durch eine vollständige Validierung des Herstellungs- und Verdünnungsprozesses nachzuweisen.</w:t>
      </w:r>
    </w:p>
    <w:p>
      <w:pPr>
        <w:pStyle w:val="Heading2"/>
      </w:pPr>
      <w:r>
        <w:t>d) Haltbarkeitsversuche</w:t>
      </w:r>
    </w:p>
    <w:p>
      <w:r>
        <w:t>Die Haltbarkeit des Fertigarzneimittels ist nachzuweisen. Haltbarkeitsdaten der homöopathischen Ursubstanzen sind in der Regel auch auf daraus gewonnene Verdünnungen/Potenzierungen übertragbar. Ist aufgrund des Verdünnungsgrades keine Identitäts-/Gehaltsbestimmung möglich, dann können die Haltbarkeitsdaten der Darreichungsform berücksichtigt werden.</w:t>
      </w:r>
    </w:p>
    <w:p>
      <w:pPr>
        <w:pStyle w:val="Heading1"/>
      </w:pPr>
      <w:r>
        <w:t>TEIL 3</w:t>
      </w:r>
    </w:p>
    <w:p>
      <w:r>
        <w:t>Unbeschadet der Bestimmungen der Verordnung (EWG) Nr. 2377/90 für in den homöopathischen Ursubstanzen enthaltene Stoffe, die zur Verabreichung an zur Nahrungsmittelerzeugung genutzte Tiere bestimmt sind, gelten die Vorschriften von Teil 3 für das vereinfachte Registrierungsverfahren für homöopathische Tierarzneimittel gemäß Artikel 17 Absatz 1 dieser Richtlinie mit folgender Spezifikation.</w:t>
      </w:r>
    </w:p>
    <w:p>
      <w:r>
        <w:t>Jegliches Fehlen von Informationen ist zu begründen; z. B. ist darzulegen, warum ein annehmbarer Unbedenklichkeitsgrad begründet werden kann, obwohl manche Untersuchungen fehlen.</w:t>
      </w:r>
    </w:p>
    <w:p>
      <w:pPr>
        <w:pStyle w:val="Heading1"/>
      </w:pPr>
      <w:r>
        <w:t>ANHANG III VERZEICHNIS DER VERPFLICHTUNGEN GEMÄß ARTIKEL 136 ABSATZ 1</w:t>
      </w:r>
    </w:p>
    <w:p>
      <w:r>
        <w:t>(1) Verpflichtung, als Antragsteller angemessene Informationen und Unterlagen gemäß Artikel 6 Absatz 4 vorzulegen;</w:t>
      </w:r>
    </w:p>
    <w:p>
      <w:r>
        <w:t>(2) Verpflichtung, in einem gemäß Artikel 62 übermittelten Antrag die in Absatz 2 Buchstabe b dieses Artikels genannten Daten vorzulegen;</w:t>
      </w:r>
    </w:p>
    <w:p>
      <w:r>
        <w:t>(3) Verpflichtung, die Anforderungen gemäß Artikel 23 und Artikel 25 zu erfüllen;</w:t>
      </w:r>
    </w:p>
    <w:p>
      <w:r>
        <w:t>(4) Verpflichtung, die Bedingungen der Zulassung des Tierarzneimittels gemäß Artikel 36 Absatz 1 einzuhalten;</w:t>
      </w:r>
    </w:p>
    <w:p>
      <w:r>
        <w:t>(5) Verpflichtung, gemäß Artikel 58 Absatz 3 etwaige Änderungen der Zulassungsbedingungen vorzunehmen, die erforderlich sind, um den Stand der Technik und den Fortschritt der Wissenschaft zu berücksichtigen und die Herstellung und Kontrolle des Tierarzneimittels nach allgemein anerkannten wissenschaftlichen Methoden sicherzustellen;</w:t>
      </w:r>
    </w:p>
    <w:p>
      <w:r>
        <w:t>(6) Verpflichtung, die Fachinformation, die Packungsbeilage und die Kennzeichnung gemäß Artikel 58 Absatz 4 auf dem aktuellen wissenschaftlichen Kenntnisstand zu halten;</w:t>
      </w:r>
    </w:p>
    <w:p>
      <w:r>
        <w:t>(7) Verpflichtung, in der Produktdatenbank die Daten, an denen seine zugelassenen Tierarzneimittel in Verkehr gebracht werden und Informationen über die Verfügbarkeit der einzelnen Tierarzneimittel in jedem einschlägigen Mitgliedstaat sowie gegebenenfalls die Daten einer Aussetzung bzw. einer Anordnung des Ruhens oder eines Widerrufs der betroffenen Zulassungen und Daten zum Verkaufsvolumen des Arzneimittels gemäß Artikel 58 Absätze 6 und 11 zu erfassen;</w:t>
      </w:r>
    </w:p>
    <w:p>
      <w:r>
        <w:t>(8) Verpflichtung, gemäß Artikel 58 Absatz 9 auf Ersuchen einer zuständigen Behörde oder der Agentur bis zu der in dem Ersuchen angegebenen Frist Daten vorzulegen, aus denen hervorgeht, dass das Nutzen-Risiko-Verhältnis weiterhin positiv ist;</w:t>
      </w:r>
    </w:p>
    <w:p>
      <w:r>
        <w:t>(9) Verpflichtung, gemäß Artikel 58 Absatz 10 alle neuen Informationen vorzulegen, die eine Änderung der Zulassungsbedingungen nach sich ziehen könnten, alle Verbote oder Beschränkungen durch die zuständigen Behörden jedes Landes bekannt zu geben, in dem das Tierarzneimittel in Verkehr gebracht wird, oder sämtliche Informationen vorzulegen, die die Beurteilung der Risiken und des Nutzens des betreffenden Arzneimittels beeinflussen könnten;</w:t>
      </w:r>
    </w:p>
    <w:p>
      <w:r>
        <w:t>(10) Verpflichtung, das Tierarzneimittel gemäß dem Inhalt der Fachinformation sowie der Etikettierung und Packungsbeilage, die in der Zulassung angeführt sind, in Verkehr zu bringen;</w:t>
      </w:r>
    </w:p>
    <w:p>
      <w:r>
        <w:t>(11) Verpflichtung, gemäß Artikel 76 Absatz 2 alle mutmaßlich unerwünschten Ereignisse für ihre Tierarzneimittel zu erfassen;</w:t>
      </w:r>
    </w:p>
    <w:p>
      <w:r>
        <w:t>(12) Verpflichtung, zusätzlich zu den in Artikel 73 Absatz 2 aufgeführten Daten bestimmte Pharmakovigilanz-Daten zu erheben und gemäß Artikel 76 Absatz 3 Überwachungsstudien nach dem Inverkehrbringen durchzuführen;</w:t>
      </w:r>
    </w:p>
    <w:p>
      <w:r>
        <w:t>(13) Verpflichtung, gemäß Artikel 77 Absatz 11 zu gewährleisten, dass öffentliche Mitteilungen betreffend Informationen über Pharmakovigilanz-Bedenken in objektiver und nicht irreführender Weise verfasst sind, und die Agentur über diese Mitteilungen in Kenntnis zu setzen;</w:t>
      </w:r>
    </w:p>
    <w:p>
      <w:r>
        <w:t>(14) Verpflichtung, gemäß Artikel 77 ein Pharmakovigilanz-System für die Wahrnehmung von Pharmakovigilanz-Aufgaben, etwa die Pflege einer Pharmakovigilanz- Stammdokumentation, zu betreiben;</w:t>
      </w:r>
    </w:p>
    <w:p>
      <w:r>
        <w:t>(15) Verpflichtung, gemäß Artikel 79 Absatz 6 auf Ersuchen der Agentur eine Kopie der Pharmakovigilanz-Stammdokumentation vorzulegen;</w:t>
      </w:r>
    </w:p>
    <w:p>
      <w:r>
        <w:t>(16) Verpflichtung, den Signalmanagementprozess durchzuführen und die Ergebnisse dieses Verfahrens gemäß Artikel 81 Absätze 1 und 2 durchzuführen;</w:t>
      </w:r>
    </w:p>
    <w:p>
      <w:r>
        <w:t>(17) Verpflichtung, der Agentur gemäß Artikel 82 Absatz 3 sämtliche zu der Befassung im Interesse der Union verfügbaren Informationen zu übermitteln.</w:t>
      </w:r>
    </w:p>
    <w:p>
      <w:pPr>
        <w:pStyle w:val="Heading1"/>
      </w:pPr>
      <w:r>
        <w:t>ANHANG IV ENTSPRECHUNGSTABELLE</w:t>
      </w:r>
    </w:p>
    <w:p>
      <w:r>
        <w:rPr>
          <w:b/>
        </w:rPr>
        <w:t>Tabelle (zeilenweise wiedergegeben):</w:t>
      </w:r>
    </w:p>
    <w:p>
      <w:pPr>
        <w:pStyle w:val="ListBullet"/>
      </w:pPr>
      <w:r>
        <w:t>Richtlinie 2001/82/EG: Artikel 1; Vorliegende Verordnung: Artikel 4.</w:t>
      </w:r>
    </w:p>
    <w:p>
      <w:pPr>
        <w:pStyle w:val="ListBullet"/>
      </w:pPr>
      <w:r>
        <w:t>Richtlinie 2001/82/EG: Artikel 2 Absatz 1; Vorliegende Verordnung: Artikel 2 Absatz 1.</w:t>
      </w:r>
    </w:p>
    <w:p>
      <w:pPr>
        <w:pStyle w:val="ListBullet"/>
      </w:pPr>
      <w:r>
        <w:t>Richtlinie 2001/82/EG: Artikel 2 Absatz 2; Vorliegende Verordnung: Artikel 3.</w:t>
      </w:r>
    </w:p>
    <w:p>
      <w:pPr>
        <w:pStyle w:val="ListBullet"/>
      </w:pPr>
      <w:r>
        <w:t>Richtlinie 2001/82/EG: Artikel 2 Absatz 3; Vorliegende Verordnung: Artikel 2 Absätze 2, 3 und 4.</w:t>
      </w:r>
    </w:p>
    <w:p>
      <w:pPr>
        <w:pStyle w:val="ListBullet"/>
      </w:pPr>
      <w:r>
        <w:t>Richtlinie 2001/82/EG: Artikel 3; Vorliegende Verordnung: Artikel 2 Absatz 4.</w:t>
      </w:r>
    </w:p>
    <w:p>
      <w:pPr>
        <w:pStyle w:val="ListBullet"/>
      </w:pPr>
      <w:r>
        <w:t>Richtlinie 2001/82/EG: Artikel 4 Absatz 2; Vorliegende Verordnung: Artikel 5 Absatz 6.</w:t>
      </w:r>
    </w:p>
    <w:p>
      <w:pPr>
        <w:pStyle w:val="ListBullet"/>
      </w:pPr>
      <w:r>
        <w:t>Richtlinie 2001/82/EG: Artikel 5; Vorliegende Verordnung: Artikel 5.</w:t>
      </w:r>
    </w:p>
    <w:p>
      <w:pPr>
        <w:pStyle w:val="ListBullet"/>
      </w:pPr>
      <w:r>
        <w:t>Richtlinie 2001/82/EG: Artikel 5 Absatz 1 Satz 2; Vorliegende Verordnung: Artikel 38 Absatz 3.</w:t>
      </w:r>
    </w:p>
    <w:p>
      <w:pPr>
        <w:pStyle w:val="ListBullet"/>
      </w:pPr>
      <w:r>
        <w:t>Richtlinie 2001/82/EG: Artikel 5 Absatz 2; Vorliegende Verordnung: Artikel 58 Absatz 1.</w:t>
      </w:r>
    </w:p>
    <w:p>
      <w:pPr>
        <w:pStyle w:val="ListBullet"/>
      </w:pPr>
      <w:r>
        <w:t>Richtlinie 2001/82/EG: Artikel 6 Absätze 1 und 2; Vorliegende Verordnung: Artikel 8 Absatz 3.</w:t>
      </w:r>
    </w:p>
    <w:p>
      <w:pPr>
        <w:pStyle w:val="ListBullet"/>
      </w:pPr>
      <w:r>
        <w:t>Richtlinie 2001/82/EG: Artikel 6 Absatz 3; Vorliegende Verordnung: Artikel 8 Absatz 4.</w:t>
      </w:r>
    </w:p>
    <w:p>
      <w:pPr>
        <w:pStyle w:val="ListBullet"/>
      </w:pPr>
      <w:r>
        <w:t>Richtlinie 2001/82/EG: Artikel 7; Vorliegende Verordnung: Artikel 116.</w:t>
      </w:r>
    </w:p>
    <w:p>
      <w:pPr>
        <w:pStyle w:val="ListBullet"/>
      </w:pPr>
      <w:r>
        <w:t>Richtlinie 2001/82/EG: Artikel 8; Vorliegende Verordnung: Artikel 116.</w:t>
      </w:r>
    </w:p>
    <w:p>
      <w:pPr>
        <w:pStyle w:val="ListBullet"/>
      </w:pPr>
      <w:r>
        <w:t>Richtlinie 2001/82/EG: Artikel 8 Satz 3.</w:t>
      </w:r>
    </w:p>
    <w:p>
      <w:pPr>
        <w:pStyle w:val="ListBullet"/>
      </w:pPr>
      <w:r>
        <w:t>Richtlinie 2001/82/EG: Artikel 9; Vorliegende Verordnung: Artikel 9.</w:t>
      </w:r>
    </w:p>
    <w:p>
      <w:pPr>
        <w:pStyle w:val="ListBullet"/>
      </w:pPr>
      <w:r>
        <w:t>Richtlinie 2001/82/EG: Artikel 10; Vorliegende Verordnung: Artikel 112.</w:t>
      </w:r>
    </w:p>
    <w:p>
      <w:pPr>
        <w:pStyle w:val="ListBullet"/>
      </w:pPr>
      <w:r>
        <w:t>Richtlinie 2001/82/EG: Artikel 11; Vorliegende Verordnung: Artikel 113, 114 und 115.</w:t>
      </w:r>
    </w:p>
    <w:p>
      <w:pPr>
        <w:pStyle w:val="ListBullet"/>
      </w:pPr>
      <w:r>
        <w:t>Richtlinie 2001/82/EG: Artikel 12; Vorliegende Verordnung: Artikel 8.</w:t>
      </w:r>
    </w:p>
    <w:p>
      <w:pPr>
        <w:pStyle w:val="ListBullet"/>
      </w:pPr>
      <w:r>
        <w:t>Richtlinie 2001/82/EG: Artikel 13 Absatz 1; Vorliegende Verordnung: Artikel 18.</w:t>
      </w:r>
    </w:p>
    <w:p>
      <w:pPr>
        <w:pStyle w:val="ListBullet"/>
      </w:pPr>
      <w:r>
        <w:t>Richtlinie 2001/82/EG: Artikel 13 Absatz 2; Vorliegende Verordnung: Artikel 4 Absätze 8 und 9.</w:t>
      </w:r>
    </w:p>
    <w:p>
      <w:pPr>
        <w:pStyle w:val="ListBullet"/>
      </w:pPr>
      <w:r>
        <w:t>Richtlinie 2001/82/EG: Artikel 13 Absätze 3 und 4; Vorliegende Verordnung: Artikel 19.</w:t>
      </w:r>
    </w:p>
    <w:p>
      <w:pPr>
        <w:pStyle w:val="ListBullet"/>
      </w:pPr>
      <w:r>
        <w:t>Richtlinie 2001/82/EG: Artikel 13 Absatz 5; Vorliegende Verordnung: Artikel 38, 39 und 40.</w:t>
      </w:r>
    </w:p>
    <w:p>
      <w:pPr>
        <w:pStyle w:val="ListBullet"/>
      </w:pPr>
      <w:r>
        <w:t>Richtlinie 2001/82/EG: Artikel 13 Absatz 6; Vorliegende Verordnung: Artikel 41.</w:t>
      </w:r>
    </w:p>
    <w:p>
      <w:pPr>
        <w:pStyle w:val="ListBullet"/>
      </w:pPr>
      <w:r>
        <w:t>Richtlinie 2001/82/EG: Artikel 13a; Vorliegende Verordnung: Artikel 22.</w:t>
      </w:r>
    </w:p>
    <w:p>
      <w:pPr>
        <w:pStyle w:val="ListBullet"/>
      </w:pPr>
      <w:r>
        <w:t>Richtlinie 2001/82/EG: Artikel 13b; Vorliegende Verordnung: Artikel 20.</w:t>
      </w:r>
    </w:p>
    <w:p>
      <w:pPr>
        <w:pStyle w:val="ListBullet"/>
      </w:pPr>
      <w:r>
        <w:t>Richtlinie 2001/82/EG: Artikel 13c; Vorliegende Verordnung: Artikel 21.</w:t>
      </w:r>
    </w:p>
    <w:p>
      <w:pPr>
        <w:pStyle w:val="ListBullet"/>
      </w:pPr>
      <w:r>
        <w:t>Richtlinie 2001/82/EG: Artikel 14; Vorliegende Verordnung: Artikel 35.</w:t>
      </w:r>
    </w:p>
    <w:p>
      <w:pPr>
        <w:pStyle w:val="ListBullet"/>
      </w:pPr>
      <w:r>
        <w:t>Richtlinie 2001/82/EG: Artikel 16; Vorliegende Verordnung: Artikel 85.</w:t>
      </w:r>
    </w:p>
    <w:p>
      <w:pPr>
        <w:pStyle w:val="ListBullet"/>
      </w:pPr>
      <w:r>
        <w:t>Richtlinie 2001/82/EG: Artikel 17; Vorliegende Verordnung: Artikel 86.</w:t>
      </w:r>
    </w:p>
    <w:p>
      <w:pPr>
        <w:pStyle w:val="ListBullet"/>
      </w:pPr>
      <w:r>
        <w:t>Richtlinie 2001/82/EG: Artikel 18; Vorliegende Verordnung: Artikel 87.</w:t>
      </w:r>
    </w:p>
    <w:p>
      <w:pPr>
        <w:pStyle w:val="ListBullet"/>
      </w:pPr>
      <w:r>
        <w:t>Richtlinie 2001/82/EG: Artikel 19; Vorliegende Verordnung: Artikel 85.</w:t>
      </w:r>
    </w:p>
    <w:p>
      <w:pPr>
        <w:pStyle w:val="ListBullet"/>
      </w:pPr>
      <w:r>
        <w:t>Richtlinie 2001/82/EG: Artikel 20; Vorliegende Verordnung: Artikel 85.</w:t>
      </w:r>
    </w:p>
    <w:p>
      <w:pPr>
        <w:pStyle w:val="ListBullet"/>
      </w:pPr>
      <w:r>
        <w:t>Richtlinie 2001/82/EG: Artikel 21 Absatz 1; Vorliegende Verordnung: Artikel 47.</w:t>
      </w:r>
    </w:p>
    <w:p>
      <w:pPr>
        <w:pStyle w:val="ListBullet"/>
      </w:pPr>
      <w:r>
        <w:t>Richtlinie 2001/82/EG: Artikel 21 Absatz 2; Vorliegende Verordnung: Artikel 46.</w:t>
      </w:r>
    </w:p>
    <w:p>
      <w:pPr>
        <w:pStyle w:val="ListBullet"/>
      </w:pPr>
      <w:r>
        <w:t>Richtlinie 2001/82/EG: Artikel 22; Vorliegende Verordnung: Artikel 48.</w:t>
      </w:r>
    </w:p>
    <w:p>
      <w:pPr>
        <w:pStyle w:val="ListBullet"/>
      </w:pPr>
      <w:r>
        <w:t>Richtlinie 2001/82/EG: Artikel 23; Vorliegende Verordnung: Artikel 28 und 29.</w:t>
      </w:r>
    </w:p>
    <w:p>
      <w:pPr>
        <w:pStyle w:val="ListBullet"/>
      </w:pPr>
      <w:r>
        <w:t>Richtlinie 2001/82/EG: Artikel 24; Vorliegende Verordnung: Artikel 30.</w:t>
      </w:r>
    </w:p>
    <w:p>
      <w:pPr>
        <w:pStyle w:val="ListBullet"/>
      </w:pPr>
      <w:r>
        <w:t>Richtlinie 2001/82/EG: Artikel 25; Vorliegende Verordnung: Artikel 33.</w:t>
      </w:r>
    </w:p>
    <w:p>
      <w:pPr>
        <w:pStyle w:val="ListBullet"/>
      </w:pPr>
      <w:r>
        <w:t>Richtlinie 2001/82/EG: Artikel 26 Absatz 3; Vorliegende Verordnung: Artikel 25 und 26.</w:t>
      </w:r>
    </w:p>
    <w:p>
      <w:pPr>
        <w:pStyle w:val="ListBullet"/>
      </w:pPr>
      <w:r>
        <w:t>Richtlinie 2001/82/EG: Artikel 27; Vorliegende Verordnung: Artikel 58.</w:t>
      </w:r>
    </w:p>
    <w:p>
      <w:pPr>
        <w:pStyle w:val="ListBullet"/>
      </w:pPr>
      <w:r>
        <w:t>Richtlinie 2001/82/EG: Artikel 27a; Vorliegende Verordnung: Artikel 58 Absatz 6.</w:t>
      </w:r>
    </w:p>
    <w:p>
      <w:pPr>
        <w:pStyle w:val="ListBullet"/>
      </w:pPr>
      <w:r>
        <w:t>Richtlinie 2001/82/EG: Artikel 27b; Vorliegende Verordnung: Artikel 60.</w:t>
      </w:r>
    </w:p>
    <w:p>
      <w:pPr>
        <w:pStyle w:val="ListBullet"/>
      </w:pPr>
      <w:r>
        <w:t>Richtlinie 2001/82/EG: Artikel 28; Vorliegende Verordnung: Artikel 5 Absatz 2.</w:t>
      </w:r>
    </w:p>
    <w:p>
      <w:pPr>
        <w:pStyle w:val="ListBullet"/>
      </w:pPr>
      <w:r>
        <w:t>Richtlinie 2001/82/EG: Artikel 30; Vorliegende Verordnung: Artikel 37.</w:t>
      </w:r>
    </w:p>
    <w:p>
      <w:pPr>
        <w:pStyle w:val="ListBullet"/>
      </w:pPr>
      <w:r>
        <w:t>Richtlinie 2001/82/EG: Artikel 31; Vorliegende Verordnung: Artikel 142 und 143.</w:t>
      </w:r>
    </w:p>
    <w:p>
      <w:pPr>
        <w:pStyle w:val="ListBullet"/>
      </w:pPr>
      <w:r>
        <w:t>Richtlinie 2001/82/EG: Artikel 32; Vorliegende Verordnung: Artikel 49 und 52.</w:t>
      </w:r>
    </w:p>
    <w:p>
      <w:pPr>
        <w:pStyle w:val="ListBullet"/>
      </w:pPr>
      <w:r>
        <w:t>Richtlinie 2001/82/EG: Artikel 33; Vorliegende Verordnung: Artikel 54.</w:t>
      </w:r>
    </w:p>
    <w:p>
      <w:pPr>
        <w:pStyle w:val="ListBullet"/>
      </w:pPr>
      <w:r>
        <w:t>Richtlinie 2001/82/EG: Artikel 35; Vorliegende Verordnung: Artikel 82.</w:t>
      </w:r>
    </w:p>
    <w:p>
      <w:pPr>
        <w:pStyle w:val="ListBullet"/>
      </w:pPr>
      <w:r>
        <w:t>Richtlinie 2001/82/EG: Artikel 36; Vorliegende Verordnung: Artikel 83.</w:t>
      </w:r>
    </w:p>
    <w:p>
      <w:pPr>
        <w:pStyle w:val="ListBullet"/>
      </w:pPr>
      <w:r>
        <w:t>Richtlinie 2001/82/EG: Artikel 37; Vorliegende Verordnung: Artikel 84.</w:t>
      </w:r>
    </w:p>
    <w:p>
      <w:pPr>
        <w:pStyle w:val="ListBullet"/>
      </w:pPr>
      <w:r>
        <w:t>Richtlinie 2001/82/EG: Artikel 38; Vorliegende Verordnung: Artikel 84.</w:t>
      </w:r>
    </w:p>
    <w:p>
      <w:pPr>
        <w:pStyle w:val="ListBullet"/>
      </w:pPr>
      <w:r>
        <w:t>Richtlinie 2001/82/EG: Artikel 39; Vorliegende Verordnung: Artikel 60.</w:t>
      </w:r>
    </w:p>
    <w:p>
      <w:pPr>
        <w:pStyle w:val="ListBullet"/>
      </w:pPr>
      <w:r>
        <w:t>Richtlinie 2001/82/EG: Artikel 40; Vorliegende Verordnung: Artikel 129.</w:t>
      </w:r>
    </w:p>
    <w:p>
      <w:pPr>
        <w:pStyle w:val="ListBullet"/>
      </w:pPr>
      <w:r>
        <w:t>Richtlinie 2001/82/EG: Artikel 44; Vorliegende Verordnung: Artikel 88.</w:t>
      </w:r>
    </w:p>
    <w:p>
      <w:pPr>
        <w:pStyle w:val="ListBullet"/>
      </w:pPr>
      <w:r>
        <w:t>Richtlinie 2001/82/EG: Artikel 45; Vorliegende Verordnung: Artikel 89.</w:t>
      </w:r>
    </w:p>
    <w:p>
      <w:pPr>
        <w:pStyle w:val="ListBullet"/>
      </w:pPr>
      <w:r>
        <w:t>Richtlinie 2001/82/EG: Artikel 46; Vorliegende Verordnung: Artikel 90.</w:t>
      </w:r>
    </w:p>
    <w:p>
      <w:pPr>
        <w:pStyle w:val="ListBullet"/>
      </w:pPr>
      <w:r>
        <w:t>Richtlinie 2001/82/EG: Artikel 47; Vorliegende Verordnung: Artikel 90.</w:t>
      </w:r>
    </w:p>
    <w:p>
      <w:pPr>
        <w:pStyle w:val="ListBullet"/>
      </w:pPr>
      <w:r>
        <w:t>Richtlinie 2001/82/EG: Artikel 48; Vorliegende Verordnung: Artikel 92.</w:t>
      </w:r>
    </w:p>
    <w:p>
      <w:pPr>
        <w:pStyle w:val="ListBullet"/>
      </w:pPr>
      <w:r>
        <w:t>Richtlinie 2001/82/EG: Artikel 49; Vorliegende Verordnung: Artikel 90.</w:t>
      </w:r>
    </w:p>
    <w:p>
      <w:pPr>
        <w:pStyle w:val="ListBullet"/>
      </w:pPr>
      <w:r>
        <w:t>Richtlinie 2001/82/EG: Artikel 50; Vorliegende Verordnung: Artikel 93 und 96.</w:t>
      </w:r>
    </w:p>
    <w:p>
      <w:pPr>
        <w:pStyle w:val="ListBullet"/>
      </w:pPr>
      <w:r>
        <w:t>Richtlinie 2001/82/EG: Artikel 50a; Vorliegende Verordnung: Artikel 95.</w:t>
      </w:r>
    </w:p>
    <w:p>
      <w:pPr>
        <w:pStyle w:val="ListBullet"/>
      </w:pPr>
      <w:r>
        <w:t>Richtlinie 2001/82/EG: Artikel 51; Vorliegende Verordnung: Artikel 89.</w:t>
      </w:r>
    </w:p>
    <w:p>
      <w:pPr>
        <w:pStyle w:val="ListBullet"/>
      </w:pPr>
      <w:r>
        <w:t>Richtlinie 2001/82/EG: Artikel 52; Vorliegende Verordnung: Artikel 97.</w:t>
      </w:r>
    </w:p>
    <w:p>
      <w:pPr>
        <w:pStyle w:val="ListBullet"/>
      </w:pPr>
      <w:r>
        <w:t>Richtlinie 2001/82/EG: Artikel 53; Vorliegende Verordnung: Artikel 97.</w:t>
      </w:r>
    </w:p>
    <w:p>
      <w:pPr>
        <w:pStyle w:val="ListBullet"/>
      </w:pPr>
      <w:r>
        <w:t>Richtlinie 2001/82/EG: Artikel 55; Vorliegende Verordnung: Artikel 97.</w:t>
      </w:r>
    </w:p>
    <w:p>
      <w:pPr>
        <w:pStyle w:val="ListBullet"/>
      </w:pPr>
      <w:r>
        <w:t>Richtlinie 2001/82/EG: Artikel 56; Vorliegende Verordnung: Artikel 97.</w:t>
      </w:r>
    </w:p>
    <w:p>
      <w:pPr>
        <w:pStyle w:val="ListBullet"/>
      </w:pPr>
      <w:r>
        <w:t>Richtlinie 2001/82/EG: Artikel 58; Vorliegende Verordnung: Artikel 10 und 11.</w:t>
      </w:r>
    </w:p>
    <w:p>
      <w:pPr>
        <w:pStyle w:val="ListBullet"/>
      </w:pPr>
      <w:r>
        <w:t>Richtlinie 2001/82/EG: Artikel 59; Vorliegende Verordnung: Artikel 12.</w:t>
      </w:r>
    </w:p>
    <w:p>
      <w:pPr>
        <w:pStyle w:val="ListBullet"/>
      </w:pPr>
      <w:r>
        <w:t>Richtlinie 2001/82/EG: Artikel 60; Vorliegende Verordnung: Artikel 11 Absatz 4.</w:t>
      </w:r>
    </w:p>
    <w:p>
      <w:pPr>
        <w:pStyle w:val="ListBullet"/>
      </w:pPr>
      <w:r>
        <w:t>Richtlinie 2001/82/EG: Artikel 61; Vorliegende Verordnung: Artikel 14.</w:t>
      </w:r>
    </w:p>
    <w:p>
      <w:pPr>
        <w:pStyle w:val="ListBullet"/>
      </w:pPr>
      <w:r>
        <w:t>Richtlinie 2001/82/EG: Artikel 64; Vorliegende Verordnung: Artikel 16.</w:t>
      </w:r>
    </w:p>
    <w:p>
      <w:pPr>
        <w:pStyle w:val="ListBullet"/>
      </w:pPr>
      <w:r>
        <w:t>Richtlinie 2001/82/EG: Artikel 65; Vorliegende Verordnung: Artikel 99 und 100.</w:t>
      </w:r>
    </w:p>
    <w:p>
      <w:pPr>
        <w:pStyle w:val="ListBullet"/>
      </w:pPr>
      <w:r>
        <w:t>Richtlinie 2001/82/EG: Artikel 66; Vorliegende Verordnung: Artikel 103.</w:t>
      </w:r>
    </w:p>
    <w:p>
      <w:pPr>
        <w:pStyle w:val="ListBullet"/>
      </w:pPr>
      <w:r>
        <w:t>Richtlinie 2001/82/EG: Artikel 67; Vorliegende Verordnung: Artikel 34.</w:t>
      </w:r>
    </w:p>
    <w:p>
      <w:pPr>
        <w:pStyle w:val="ListBullet"/>
      </w:pPr>
      <w:r>
        <w:t>Richtlinie 2001/82/EG: Artikel 68; Vorliegende Verordnung: Artikel 103.</w:t>
      </w:r>
    </w:p>
    <w:p>
      <w:pPr>
        <w:pStyle w:val="ListBullet"/>
      </w:pPr>
      <w:r>
        <w:t>Richtlinie 2001/82/EG: Artikel 69; Vorliegende Verordnung: Artikel 108.</w:t>
      </w:r>
    </w:p>
    <w:p>
      <w:pPr>
        <w:pStyle w:val="ListBullet"/>
      </w:pPr>
      <w:r>
        <w:t>Richtlinie 2001/82/EG: Artikel 70; Vorliegende Verordnung: Artikel 111.</w:t>
      </w:r>
    </w:p>
    <w:p>
      <w:pPr>
        <w:pStyle w:val="ListBullet"/>
      </w:pPr>
      <w:r>
        <w:t>Richtlinie 2001/82/EG: Artikel 71; Vorliegende Verordnung: Artikel 110.</w:t>
      </w:r>
    </w:p>
    <w:p>
      <w:pPr>
        <w:pStyle w:val="ListBullet"/>
      </w:pPr>
      <w:r>
        <w:t>Richtlinie 2001/82/EG: Artikel 72; Vorliegende Verordnung: Artikel 73.</w:t>
      </w:r>
    </w:p>
    <w:p>
      <w:pPr>
        <w:pStyle w:val="ListBullet"/>
      </w:pPr>
      <w:r>
        <w:t>Richtlinie 2001/82/EG: Artikel 73; Vorliegende Verordnung: Artikel 73 und 74.</w:t>
      </w:r>
    </w:p>
    <w:p>
      <w:pPr>
        <w:pStyle w:val="ListBullet"/>
      </w:pPr>
      <w:r>
        <w:t>Richtlinie 2001/82/EG: Artikel 74; Vorliegende Verordnung: Artikel 78.</w:t>
      </w:r>
    </w:p>
    <w:p>
      <w:pPr>
        <w:pStyle w:val="ListBullet"/>
      </w:pPr>
      <w:r>
        <w:t>Richtlinie 2001/82/EG: Artikel 75; Vorliegende Verordnung: Artikel 77.</w:t>
      </w:r>
    </w:p>
    <w:p>
      <w:pPr>
        <w:pStyle w:val="ListBullet"/>
      </w:pPr>
      <w:r>
        <w:t>Richtlinie 2001/82/EG: Artikel 76; Vorliegende Verordnung: Artikel 79.</w:t>
      </w:r>
    </w:p>
    <w:p>
      <w:pPr>
        <w:pStyle w:val="ListBullet"/>
      </w:pPr>
      <w:r>
        <w:t>Richtlinie 2001/82/EG: Artikel 78 Absatz 2; Vorliegende Verordnung: Artikel 130.</w:t>
      </w:r>
    </w:p>
    <w:p>
      <w:pPr>
        <w:pStyle w:val="ListBullet"/>
      </w:pPr>
      <w:r>
        <w:t>Richtlinie 2001/82/EG: Artikel 80; Vorliegende Verordnung: Artikel 123.</w:t>
      </w:r>
    </w:p>
    <w:p>
      <w:pPr>
        <w:pStyle w:val="ListBullet"/>
      </w:pPr>
      <w:r>
        <w:t>Richtlinie 2001/82/EG: Artikel 81; Vorliegende Verordnung: Artikel 127.</w:t>
      </w:r>
    </w:p>
    <w:p>
      <w:pPr>
        <w:pStyle w:val="ListBullet"/>
      </w:pPr>
      <w:r>
        <w:t>Richtlinie 2001/82/EG: Artikel 82; Vorliegende Verordnung: Artikel 128.</w:t>
      </w:r>
    </w:p>
    <w:p>
      <w:pPr>
        <w:pStyle w:val="ListBullet"/>
      </w:pPr>
      <w:r>
        <w:t>Richtlinie 2001/82/EG: Artikel 83; Vorliegende Verordnung: Artikel 129 und 130.</w:t>
      </w:r>
    </w:p>
    <w:p>
      <w:pPr>
        <w:pStyle w:val="ListBullet"/>
      </w:pPr>
      <w:r>
        <w:t>Richtlinie 2001/82/EG: Artikel 84; Vorliegende Verordnung: Artikel 134.</w:t>
      </w:r>
    </w:p>
    <w:p>
      <w:pPr>
        <w:pStyle w:val="ListBullet"/>
      </w:pPr>
      <w:r>
        <w:t>Richtlinie 2001/82/EG: Artikel 85 Absätze 1 und 2; Vorliegende Verordnung: Artikel 133.</w:t>
      </w:r>
    </w:p>
    <w:p>
      <w:pPr>
        <w:pStyle w:val="ListBullet"/>
      </w:pPr>
      <w:r>
        <w:t>Richtlinie 2001/82/EG: Artikel 85 Absatz 3; Vorliegende Verordnung: Artikel 119 und 120.</w:t>
      </w:r>
    </w:p>
    <w:p>
      <w:pPr>
        <w:pStyle w:val="ListBullet"/>
      </w:pPr>
      <w:r>
        <w:t>Richtlinie 2001/82/EG: Artikel 87; Vorliegende Verordnung: Artikel 79 Absatz 2.</w:t>
      </w:r>
    </w:p>
    <w:p>
      <w:pPr>
        <w:pStyle w:val="ListBullet"/>
      </w:pPr>
      <w:r>
        <w:t>Richtlinie 2001/82/EG: Artikel 88; Vorliegende Verordnung: Artikel 146.</w:t>
      </w:r>
    </w:p>
    <w:p>
      <w:pPr>
        <w:pStyle w:val="ListBullet"/>
      </w:pPr>
      <w:r>
        <w:t>Richtlinie 2001/82/EG: Artikel 89; Vorliegende Verordnung: Artikel 145.</w:t>
      </w:r>
    </w:p>
    <w:p>
      <w:pPr>
        <w:pStyle w:val="ListBullet"/>
      </w:pPr>
      <w:r>
        <w:t>Richtlinie 2001/82/EG: Artikel 90; Vorliegende Verordnung: Artikel 137.</w:t>
      </w:r>
    </w:p>
    <w:p>
      <w:pPr>
        <w:pStyle w:val="ListBullet"/>
      </w:pPr>
      <w:r>
        <w:t>Richtlinie 2001/82/EG: Artikel 93; Vorliegende Verordnung: Artikel 98.</w:t>
      </w:r>
    </w:p>
    <w:p>
      <w:pPr>
        <w:pStyle w:val="ListBullet"/>
      </w:pPr>
      <w:r>
        <w:t>Richtlinie 2001/82/EG: Artikel 95; Vorliegende Verordnung: Artikel 9 Absatz 2.</w:t>
      </w:r>
    </w:p>
    <w:p>
      <w:pPr>
        <w:pStyle w:val="ListBullet"/>
      </w:pPr>
      <w:r>
        <w:t>Richtlinie 2001/82/EG: Artikel 95a; Vorliegende Verordnung: Artikel 117.</w:t>
      </w:r>
    </w:p>
    <w:p>
      <w:pPr>
        <w:pStyle w:val="Heading2"/>
      </w:pPr>
      <w:r>
        <w:t>Fußnoten</w:t>
      </w:r>
    </w:p>
    <w:p>
      <w:r>
        <w:t>Fußnote (1) ABl. C 242, 23.7.2015, S. 54.</w:t>
      </w:r>
    </w:p>
    <w:p>
      <w:r>
        <w:t>Fußnote (2) Standpunkt des Europäischen Parlaments 25. Oktober 2018 (noch nicht im Amtsblatt veröffentlicht) und Beschluss des Rates vom 26. November 2018.</w:t>
      </w:r>
    </w:p>
    <w:p>
      <w:r>
        <w:t>Fußnote (3) Richtlinie 2001/82/EG des Europäischen Parlaments und des Rates vom Dienstag, 6. November 2001 zur Schaffung eines Gemeinschaftskodexes für Tierarzneimittel (ABl. L 311 vom 28.11.2001, S. 1).</w:t>
      </w:r>
    </w:p>
    <w:p>
      <w:r>
        <w:t>Fußnote (4) Verordnung (EG) Nr. 726/2004 des Europäischen Parlaments und des Rates vom 31. März 2004 zur Festlegung von Gemeinschaftsverfahren für die Genehmigung und Überwachung von Human- und Tierarzneimitteln und zur Errichtung einer Europäischen Arzneimittel-Agentur (ABl. L 136 vom 30.4.2004, S. 1).</w:t>
      </w:r>
    </w:p>
    <w:p>
      <w:r>
        <w:t>Fußnote (5) Verordnung (EU) 2019/4 des Europäischen Parlaments und des Rates vom 11. Dezember 2018 über die Herstellung, das Inverkehrbringen und die Verwendung von Arzneifuttermitteln sowie zur Aufhebung der Richtlinie 90/167/EWG des Rates (siehe Seite 1 dieses Amtsblatts).</w:t>
      </w:r>
    </w:p>
    <w:p>
      <w:r>
        <w:t>Fußnote (6) Verordnung (EG) Nr. 470/2009 des Europäischen Parlaments und des Rates vom 6. Mai 2009 über die Schaffung eines Gemeinschaftsverfahrens für die Festsetzung von Höchstmengen für Rückstände pharmakologisch wirksamer Stoffe in Lebensmitteln tierischen Ursprungs, zur Aufhebung der Verordnung (EWG) Nr. 2377/90 des Rates und zur Änderung der Richtlinie 2001/82/EG des Europäischen Parlaments und des Rates und der Verordnung (EG) Nr. 726/2004 des Europäischen Parlaments und des Rates (ABl. L 152 vom 16.6.2009, S. 11).</w:t>
      </w:r>
    </w:p>
    <w:p>
      <w:r>
        <w:t>Fußnote (7) Richtlinie 2010/63/EU des Europäischen Parlaments und des Rates vom 22. September 2010 zum Schutz der für wissenschaftliche Zwecke verwendeten Tiere (ABl. L 276 vom 20.10.2010, S. 33).</w:t>
      </w:r>
    </w:p>
    <w:p>
      <w:r>
        <w:t>Fußnote (8) Verordnung (EG) Nr. 1049/2001 des Europäischen Parlaments und des Rates vom 30. Mai 2001 über den Zugang der Öffentlichkeit zu Dokumenten des Europäischen Parlaments, des Rates und der Kommission (ABl. L 145 vom 31.5.2001, S. 43).</w:t>
      </w:r>
    </w:p>
    <w:p>
      <w:r>
        <w:t>Fußnote (9) Richtlinie 2000/60/EG des Europäischen Parlaments und des Rates vom 23. Oktober 2000 zur Schaffung eines Ordnungsrahmens für Maßnahmen der Gemeinschaft im Bereich der Wasserpolitik (ABl. L 327 vom 22.12.2000, S. 1).</w:t>
      </w:r>
    </w:p>
    <w:p>
      <w:r>
        <w:t>Fußnote (10) Richtlinie 2010/75/EU des Europäischen Parlaments und des Rates vom 24. November 2010 über Industrieemissionen (integrierte Vermeidung und Verminderung der Umweltverschmutzung) (ABl. L 334 vom 17.12.2010, S. 17).</w:t>
      </w:r>
    </w:p>
    <w:p>
      <w:r>
        <w:t>Fußnote (11) Richtlinie 2006/114/EG des Europäischen Parlaments und des Rates vom 12. Dezember 2006 über irreführende und vergleichende Werbung (ABl. L 376 vom 27.12.2006, S. 21).</w:t>
      </w:r>
    </w:p>
    <w:p>
      <w:r>
        <w:t>Fußnote (12) Verordnung (EU) 2017/625 des Europäischen Parlaments und des Rates vom 15. März 2017 über amtliche Kontrollen und andere amtliche Tätigkeiten zur Gewährleistung der Anwendung des Lebens- und Futtermittelrechts und der Vorschriften über Tiergesundheit und Tierschutz, Pflanzengesundheit und Pflanzenschutzmittel, zur Änderung der Verordnungen (EG) Nr. 999/2001, (EG) Nr. 396/2005, (EG) Nr. 1069/2009, (EG) Nr. 1107/2009, (EU) Nr. 1151/2012, (EU) Nr. 652/2014, (EU) 2016/429 und (EU) 2016/2031 des Europäischen Parlaments und des Rates, der Verordnungen (EG) Nr. 1/2005 und (EG) Nr. 1099/2009 des Rates sowie der Richtlinien 98/58/EG, 1999/74/EG, 2007/43/EG, 2008/119/EG und 2008/120/EG des Rates und zur Aufhebung der Verordnungen (EG) Nr. 854/2004 und (EG) Nr. 882/2004 des Europäischen Parlaments und des Rates, der Richtlinien 89/608/EWG, 89/662/EWG, 90/425/EWG, 91/496/EEG, 96/23/EG, 96/93/EG und 97/78/EG des Rates und des Beschlusses 92/438/EWG des Rates (Verordnung über amtliche Kontrollen) (ABl. L 95 vom 7.4.2017, S. 1).</w:t>
      </w:r>
    </w:p>
    <w:p>
      <w:r>
        <w:t>Fußnote (13) Richtlinie 2001/83/EG des Europäischen Parlaments und des Rates vom 6. November 2001 zur Schaffung eines Gemeinschaftskodexes für Humanarzneimittel (ABl. L 311 vom 28.11.2001, S. 67).</w:t>
      </w:r>
    </w:p>
    <w:p>
      <w:r>
        <w:t>Fußnote (14) Richtlinie 2009/9/EG der Kommission vom 10. Februar 2009 zur Änderung der Richtlinie 2001/82/EG des Europäischen Parlaments und des Rates zur Schaffung eines Gemeinschaftskodexes für Tierarzneimittel (ABl. L 44 vom 14.2.2009, S. 10).</w:t>
      </w:r>
    </w:p>
    <w:p>
      <w:r>
        <w:t>Fußnote (15) ABl. L 123 vom 12.5.2016, S. 1.</w:t>
      </w:r>
    </w:p>
    <w:p>
      <w:r>
        <w:t>Fußnote (16) Verordnung (EU) Nr. 182/2011 des Europäischen Parlaments und des Rates vom 16. Februar 2011 zur Festlegung der allgemeinen Regeln und Grundsätze, nach denen die Mitgliedstaaten die Wahrnehmung der Durchführungsbefugnisse durch die Kommission kontrollieren (ABl. L 55 vom 28.2.2011, S. 13).</w:t>
      </w:r>
    </w:p>
    <w:p>
      <w:r>
        <w:t>Fußnote (17) Richtlinie 2005/36/EG des Europäischen Parlaments und des Rates vom 7. September 2005 über die Anerkennung von Berufsqualifikationen (ABl. L 255 vom 30.9.2005, S. 22).</w:t>
      </w:r>
    </w:p>
    <w:p>
      <w:r>
        <w:t>Fußnote (18) Richtlinie 2006/123/EG des Europäischen Parlaments und des Rates vom 12. Dezember 2006 über Dienstleistungen im Binnenmarkt (ABl. L 376 vom 27.12.2006, S. 36).</w:t>
      </w:r>
    </w:p>
    <w:p>
      <w:r>
        <w:t>Fußnote (19) Verordnung (EG) Nr. 1831/2003 des Europäischen Parlaments und des Rates vom 22. September 2003 über Zusatzstoffe zur Verwendung in der Tierernährung (ABl. L 268 vom 18.10.2003, S. 29).</w:t>
      </w:r>
    </w:p>
    <w:p>
      <w:r>
        <w:t>Fußnote (20) Verordnung (EU) Nr. 528/2012 des Europäischen Parlaments und des Rates vom 22. Mai 2012 über die Bereitstellung auf dem Markt und die Verwendung von Biozidprodukten (ABl. L 167 vom 27.6.2012, S. 1).</w:t>
      </w:r>
    </w:p>
    <w:p>
      <w:r>
        <w:t>Fußnote (21) Verordnung (EU) 2016/429 des Europäischen Parlaments und des Rates vom 9. März 2016 zu Tierseuchen und zur Änderung und Aufhebung einiger Rechtsakte im Bereich der Tiergesundheit („Tiergesundheitsrecht“) (ABl. L 84 vom 31.3.2016, S. 1).</w:t>
      </w:r>
    </w:p>
    <w:p>
      <w:r>
        <w:t>Fußnote (22) Richtlinie 2001/18/EG des Europäischen Parlaments und des Rates vom 12. März 2001 über die absichtliche Freisetzung genetisch veränderter Organismen in die Umwelt und zur Aufhebung der Richtlinie 90/220/EWG des Rates (ABl. L 106 vom 17.4.2001, S. 1).</w:t>
      </w:r>
    </w:p>
    <w:p>
      <w:r>
        <w:t>Fußnote (23) Richtlinie 96/22/EG des Rates vom 29. April 1996 über das Verbot der Verwendung bestimmter Stoffe mit hormonaler bzw. thyreostatischer Wirkung und von ß-Agonisten in der tierischen Erzeugung und zur Aufhebung der Richtlinien 81/602/EWG, 88/146/EWG und 88/299/EWG (ABl. L 125 vom 23.5.1996, S. 3).</w:t>
      </w:r>
    </w:p>
    <w:p>
      <w:r>
        <w:t>Fußnote (24) Durchführungsbeschluss 2013/652/EU der Kommission vom 12. November 2013 zur Überwachung und Meldung von Antibiotikaresistenzen bei zoonotischen und kommensalen Bakterien (ABl. L 303 vom 14.11.2013, S. 26).</w:t>
      </w:r>
    </w:p>
    <w:p>
      <w:r>
        <w:t>Fußnote (25) Richtlinie (EU) 2015/1535 des Europäischen Parlaments und des Rates vom 9. September 2015 über ein Informationsverfahren auf dem Gebiet der technischen Vorschriften und der Vorschriften für die Dienste der Informationsgesellschaft (ABl. L 241 vom 17.9.2015, S. 1).</w:t>
      </w:r>
    </w:p>
    <w:p>
      <w:r>
        <w:t>Fußnote (26) Richtlinie 2000/31/EG des Europäischen Parlaments und des Rates vom 8. Juni 2000 über bestimmte rechtliche Aspekte der Dienste der Informationsgesellschaft, insbesondere des elektronischen Geschäftsverkehrs, im Binnenmarkt („Richtlinie über den elektronischen Geschäftsverkehr“) (ABl. L 178 vom 17.7.2000, S. 1).</w:t>
      </w:r>
    </w:p>
    <w:p>
      <w:r>
        <w:t>Fußnote (27) Beschluss 94/358/EG des Rates vom 16. Juni 1994 zur Annahme des Übereinkommens über die Ausarbeitung eines Europäischen Arzneibuchs im Namen der Europäischen Gemeinschaft (ABl. L 158 vom 25.6.1994, S. 17).</w:t>
      </w:r>
    </w:p>
    <w:p>
      <w:r>
        <w:t>Fußnote (28) Verordnung (EU) 2016/679 des Europäischen Parlaments und des Rates zum Schutz natürlicher Personen bei der Verarbeitung personenbezogener Daten, zum freien Datenverkehr und zur Aufhebung der Richtlinie 95/46/EG (Datenschutz-Grundverordnung) (ABl. L 119 vom 4.5.2016, S. 1).</w:t>
      </w:r>
    </w:p>
    <w:p>
      <w:r>
        <w:t>Fußnote (29) Verordnung (EU) 2018/1725 des Europäischen Parlaments und des Rates vom 23. Oktober 2018 zum Schutz natürlicher Personen bei der Verarbeitung personenbezogener Daten durch die Organe, Einrichtungen und sonstigen Stellen der Union, zum freien Datenverkehr und zur Aufhebung der Verordnung (EG) Nr. 45/2001 und des Beschlusses Nr. 1247/2002/EG (ABl. L 295 vom 21.11.2018, S. 39).</w:t>
      </w:r>
    </w:p>
    <w:p>
      <w:r>
        <w:t>Fußnote (30) Verordnung (EG) Nr. 1234/2008 der Kommission vom 24. November 2008 über die Prüfung von Änderungen der Zulassungen von Human- und Tierarzneimitteln (ABl. L 334 vom 12.12.2008, S. 7).</w:t>
      </w:r>
    </w:p>
    <w:p>
      <w:r>
        <w:t>Fußnote (31) Verordnung (EG) Nr. 658/2007 der Kommission vom 14. Juni 2007 über finanzielle Sanktionen bei Verstößen gegen bestimmte Verpflichtungen im Zusammenhang mit Zulassungen, die gemäß der Verordnung (EG) Nr. 726/2004 des Europäischen Parlaments und des Rates erteilt wurden (ABl. L 155 vom 15.6.2007, S. 10).</w:t>
      </w:r>
    </w:p>
    <w:p>
      <w:r>
        <w:t>Fußnote (*1) Dieser Anhang wird von der Kommission nach Maßgabe der Artikel 146 und 153 geändert werden. Alle Bezugnahmen auf Artikel oder auf „diese/die vorliegende Richtlinie“ in diesem Anhang sind als Bezugnahmen auf die Richtlinie 2001/82/EC zu verstehen, es sei denn, es wird ausdrücklich anders bestimmt.</w:t>
      </w:r>
    </w:p>
    <w:p>
      <w:r>
        <w:t>Fußnote (1) ABl. L 228 vom 17.8.1991, S. 70.</w:t>
      </w:r>
    </w:p>
    <w:p>
      <w:r>
        <w:t>Fußnote (2) ABl. L 50 vom 20.2.2004, S. 44.</w:t>
      </w:r>
    </w:p>
    <w:p>
      <w:r>
        <w:t>Fußnote (3) ABl. L 50 vom 20.2.2004, S. 28.</w:t>
      </w:r>
    </w:p>
    <w:p>
      <w:r>
        <w:t>Fußnote (4) ABl. L 358 vom 18.12.1986, S. 1.</w:t>
      </w:r>
    </w:p>
    <w:p>
      <w:r>
        <w:t>Fußnote (5) ABl. L 159 vom 27.6.2003, S. 1.</w:t>
      </w:r>
    </w:p>
    <w:p>
      <w:r>
        <w:t>Fußnote (6) ABl. L 159 vom 27.6.2003, S. 24.</w:t>
      </w:r>
    </w:p>
    <w:p>
      <w:r>
        <w:t>Fußnote (7) ABl. L 106 vom 17.4.2001, S. 1.</w:t>
      </w:r>
    </w:p>
    <w:p>
      <w:r>
        <w:t>Fußnote (8) ABl. L 136 vom 30.4.2004, S. 1.</w:t>
      </w:r>
    </w:p>
    <w:p>
      <w:r>
        <w:t>Fußnote (9) ABl. L 311 vom 28.11.2001, S. 67.</w:t>
      </w:r>
    </w:p>
    <w:p>
      <w:r>
        <w:t>Fußnote (10) ABl. L 11 vom 14.1.1978, S. 18.</w:t>
      </w:r>
    </w:p>
    <w:p>
      <w:r>
        <w:t>Fußnote (11) ABl. L 226 vom 22.9.1995, S. 1.</w:t>
      </w:r>
    </w:p>
    <w:p>
      <w:r>
        <w:t>Fußnote (12) ABl. C 24 vom 28.1.2004, S. 6.</w:t>
      </w:r>
    </w:p>
    <w:p>
      <w:r>
        <w:t>Fußnote (13) ABl. L 224 vom 18.8.1990, S. 1.</w:t>
      </w:r>
    </w:p>
    <w:p>
      <w:r>
        <w:t>Fußnote (14) ABl. L 325 vom 12.12.2003, S. 31.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Tierarzneimittel Verordnung (EU) 2019-6 (12 von 12) Anhang III-IV Teil 6 Quellenangaben, Teil 2, Teil 3</dc:title>
  <dc:subject>Amtsblatt der EU, CELEX 32019R0006, https://eur-lex.europa.eu/legal-content/DE/TXT/?uri=CELEX:32019R0006</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