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Reflection Paper GMP und Zulassungsinhaber (EN) (3 von 3) Kap 5-9 Falsified Medicines, Conclusion</w:t>
      </w:r>
    </w:p>
    <w:p>
      <w:r>
        <w:t>Quelle: https://health.ec.europa.eu/document/download/c3bac13b-689e-4d01-8321-dbf088bb692a_en?filename=gmp_mah_rp_en.pdf</w:t>
      </w:r>
    </w:p>
    <w:p>
      <w:pPr>
        <w:pStyle w:val="Heading1"/>
      </w:pPr>
      <w:r>
        <w:t>5. Areas of the EC Guide to GMP that relate to MAHs (Fortsetzung)</w:t>
      </w:r>
    </w:p>
    <w:p>
      <w:pPr>
        <w:pStyle w:val="Heading2"/>
      </w:pPr>
      <w:r>
        <w:t>Reporting Supply Restrictions and Problems:</w:t>
      </w:r>
    </w:p>
    <w:p>
      <w:r>
        <w:t>In addition, in accordance with Chapter 5 of the GMP Guide, the MAH has a responsibility to report restrictions in supply to the relevant competent authorities. In this regard, the MAH may have to rely upon the manufacturer to notify it of potential supply problems. Chapter 5 states that “The manufacturer should report to the marketing authorisation holder (MAH) any constraints in manufacturing operations which may result in abnormal restriction in the supply. This should be done in a timely manner to facilitate reporting of the restriction in supply by the MAH, to the relevant competent authorities, in accordance with its legal obligations.” (Ref. Chapter 5, Paragraph 5.71)</w:t>
      </w:r>
    </w:p>
    <w:p>
      <w:r>
        <w:t>It is useful to consider what actions may be taken by the MAH in order to minimise the impact on patients as a result of potential supply issues with their medicines.</w:t>
      </w:r>
    </w:p>
    <w:p>
      <w:r>
        <w:t>• At a starting point, it is considered that the MAH should ensure that the communication arrangements between it and the manufacturer on potential supply issues are agreed and clearly documented in a technical agreement between the parties.</w:t>
      </w:r>
    </w:p>
    <w:p>
      <w:r>
        <w:t>• Where the two companies are part of the same overall organisation, the specific details in relation to how the communications processes are intended to work at a practical level may be documented in SOPs, as long as those SOPs are approved by both parties and as long as they are referred to within the technical agreement between the parties.</w:t>
      </w:r>
    </w:p>
    <w:p>
      <w:r>
        <w:t>In addition to information from the internal supply chain, alerts on supply problems issued by e.g. wholesalers, pharmacies and hospitals should also be considered by the MAH.</w:t>
      </w:r>
    </w:p>
    <w:p>
      <w:r>
        <w:t>• This can help the MAH fulfil its notification obligations to the relevant competent authorities. (Note: The MAH may delegate tasks regarding such notification obligations concerning supply issues to the local affiliate in a member state.)</w:t>
      </w:r>
    </w:p>
    <w:p>
      <w:r>
        <w:t>There is European legislation in place which governs the notification of supply issues to the competent authorities. If the product ceases to be placed on the market of a Member State, either temporarily or permanently, the MAH is required, via Article 23a of Directive 2001/83/EC, to notify the competent authority of that Member State. The Directive requires that such notifications shall, “other than in exceptional circumstances, be made no less than two months before the interruption in the placing on the market of the product.”</w:t>
      </w:r>
    </w:p>
    <w:p>
      <w:r>
        <w:t>The MAH is also required to inform the competent authority of the reasons for such action in accordance with Article 123(2) of the Directive. This article requires the MAH to notify the Member States concerned forthwith “of any action taken by the MAH to suspend the marketing of a medicinal product, to withdraw a medicinal product from the market, to request the withdrawal of a marketing authorisation or not to apply for the renewal of a marketing authorisation, together with the reasons for such action.”</w:t>
      </w:r>
    </w:p>
    <w:p>
      <w:r>
        <w:t>Note that, in relation to veterinary medicinal products, Regulation 2019/6 (Article 58(13)) contains a similar (but not identical) provision. It states: “The marketing authorisation holder shall without delay inform the competent authority which has granted the marketing authorisation or the Commission, as applicable, of any action which the holder intends to take in order to cease the marketing of a veterinary medicinal product prior to taking such action, together with the reasons for such action.”</w:t>
      </w:r>
    </w:p>
    <w:p>
      <w:pPr>
        <w:pStyle w:val="Heading1"/>
      </w:pPr>
      <w:r>
        <w:t>5. Areas of the EC Guide to GMP that relate to MAHs (Fortsetzung)</w:t>
      </w:r>
    </w:p>
    <w:p>
      <w:pPr>
        <w:pStyle w:val="Heading2"/>
      </w:pPr>
      <w:r>
        <w:t>Possible Reasons for Supply Disruptions – Complexity, Outsourcing &amp; Other Factors:</w:t>
      </w:r>
    </w:p>
    <w:p>
      <w:r>
        <w:t>There is a variety of factors that may lead to disruptions of supply chains and product shortages for patients and animals. The globalisation of manufacturing and distribution activities is one such factor; it has contributed to the current situation in which many medicinal products are associated with highly complex supply chains, and this level of complexity gives rise to increased risks of problems arising in those supply chains. These can be difficult to resolve in a timely manner, because coupled with this is the added complexity that extensive outsourcing of manufacturing operations brings. Taken together, they can result in long lead times in manufacturing when crisis situations in the supply of medicines occur.</w:t>
      </w:r>
    </w:p>
    <w:p>
      <w:r>
        <w:t>There are many factors which can lead to product supply issues, and these can be quite diverse, ranging from, for example, a lack of robustness in the supply chain of the active substance, to the poor management of MA transfers between companies, resulting in the correct product artwork not being available in a timely manner following such transfers. The movement of manufacturing processes between two sites can also be a factor if it is not planned and managed adequately, especially where there are tight logistics associated with the manufacturing and supply chain activities.</w:t>
      </w:r>
    </w:p>
    <w:p>
      <w:pPr>
        <w:pStyle w:val="Heading1"/>
      </w:pPr>
      <w:r>
        <w:t>5. Areas of the EC Guide to GMP that relate to MAHs (Fortsetzung)</w:t>
      </w:r>
    </w:p>
    <w:p>
      <w:pPr>
        <w:pStyle w:val="Heading2"/>
      </w:pPr>
      <w:r>
        <w:t>Prevention of Product Shortages:</w:t>
      </w:r>
    </w:p>
    <w:p>
      <w:r>
        <w:t>It is, therefore, important for MAHs to be proactive in their approach to supply chain management, in order to try and prevent product shortages and to meet the obligation as set out in Article 81 of Directive 2001/83/EC and Article 58 of Regulation 2019/6. In this regard, it is recommended that MAHs carry out, in line with quality risk management principles, proactive and detailed risk assessments of their manufacturing, regulatory and supply chain processes, and to work to address any identified weaknesses in those areas. A number of useful industry guidance documents on preventing (and reacting to) shortages of medicinal products have been published (e.g. by the ISPE and PDA) and these documents provide useful guidance for MAHs in this area. Note that in addition to proactively preventing shortages, MAHs are encouraged also to have a risk management protocol in place, should a supply disruption occur, to mitigate its impact.</w:t>
      </w:r>
    </w:p>
    <w:p>
      <w:r>
        <w:t>It is worth noting that the ICH Guideline on Quality Risk Management (Q9) refers to product availability risks, and in that context, it links such risks with the potential for patient harm. This is an important point to take account of when working to prevent and mitigate the risks of medicines shortages.</w:t>
      </w:r>
    </w:p>
    <w:p>
      <w:pPr>
        <w:pStyle w:val="Heading1"/>
      </w:pPr>
      <w:r>
        <w:t>5. Areas of the EC Guide to GMP that relate to MAHs (Fortsetzung)</w:t>
      </w:r>
    </w:p>
    <w:p>
      <w:pPr>
        <w:pStyle w:val="Heading2"/>
      </w:pPr>
      <w:r>
        <w:t>5.7. Continual Improvement Activities</w:t>
      </w:r>
    </w:p>
    <w:p>
      <w:r>
        <w:t>Guidance on the need for continual improvement activities was introduced into the GMP Guide in 2013, when Chapter 1 was revised to align it with the concepts and terminology described in the ICH Q10 tripartite guideline on the Pharmaceutical Quality System.</w:t>
      </w:r>
    </w:p>
    <w:p>
      <w:r>
        <w:t>Chapter 1 states that a Pharmaceutical Quality System appropriate for the manufacture of medicinal products should ensure that “Continual improvement is facilitated through the implementation of quality improvements appropriate to the current level of process and product knowledge” (Ref. Chapter 1, Paragraph 1.4(xi)). This is relevant to the MAH in several ways, including PQR activities, where the MAH’s involvement in PQRs provides tangible benefits.</w:t>
      </w:r>
    </w:p>
    <w:p>
      <w:r>
        <w:t>For example, the responsibility that the MAH has to evaluate the results of PQRs provides it with process and product knowledge which it may not have had before then. This can help the MAH identify, with its manufacturing site partners, the need for specific continual improvement activities to be initiated.</w:t>
      </w:r>
    </w:p>
    <w:p>
      <w:r>
        <w:t>PQR data can also enable the MAH to identify the need for improvement in its own regulatory affairs processes that operate in conjunction with the manufacturing sites. Examples here include the management of MA variations (relating to CTD Module 3 / Notice to Applicants Part 2) of the MA dossier, the support that the MAH provides manufacturing sites in relation to site change control activities (via the provision of regulatory impact assessments for specific change control proposals), amongst others.</w:t>
      </w:r>
    </w:p>
    <w:p>
      <w:pPr>
        <w:pStyle w:val="Heading1"/>
      </w:pPr>
      <w:r>
        <w:t>5. Areas of the EC Guide to GMP that relate to MAHs (Fortsetzung)</w:t>
      </w:r>
    </w:p>
    <w:p>
      <w:pPr>
        <w:pStyle w:val="Heading2"/>
      </w:pPr>
      <w:r>
        <w:t>Scientific Advances:</w:t>
      </w:r>
    </w:p>
    <w:p>
      <w:r>
        <w:t>The concept of continual improvement in medicines manufacturing is related to advances in science. Articles 23 and 58 (3) of Directive 2001/83/EC and Regulation 2019/6, respectively, require MAHs to maintain MAs in line with scientific advances. Article 23 states that, after an authorisation has been issued, “the authorisation holder must, in respect of the methods of manufacture and control” provided for in the marketing authorisation application, take account of “scientific and technical progress and introduce any changes that may be required to enable the medicinal product to be manufactured and checked by means of generally accepted scientific methods”. Article 58 (3) of the Veterinary Regulation has similar wording.</w:t>
      </w:r>
    </w:p>
    <w:p>
      <w:r>
        <w:t>• The above requirements place a responsibility on the MAH to work with the manufacturing sites in order to incorporate generally accepted scientific methods into the registered methods of manufacture and the registered controls.</w:t>
      </w:r>
    </w:p>
    <w:p>
      <w:r>
        <w:t>• The MAH also has the responsibility to ensure that any variation applications which may be required in light of the above changes, are submitted to keep the marketing authorisation up-todate.</w:t>
      </w:r>
    </w:p>
    <w:p>
      <w:r>
        <w:t>• This means that, for the manufacturing process, the process description as included in CTD Module 3 / Notice to Applicants Part 2 should be updated, where necessary, to include sufficient details according to current guidelines. In some cases, consideration should also be given to updating the manufacturing process itself.</w:t>
      </w:r>
    </w:p>
    <w:p>
      <w:r>
        <w:t>It is considered also that, with regard to Article 23 of Directive 2001/83/EC and Article 58 (3) of Regulation 2019/6, a company’s internal manufacturing documents which describe the manufacturing process should be kept updated in light of scientific and technical progress and that they contain sufficiently detailed information so as to ensure that key manufacturing details are not lost when site transfers occur.</w:t>
      </w:r>
    </w:p>
    <w:p>
      <w:r>
        <w:t>Regarding updates to the methods of control, the MAH is required to ensure that material and product specifications registered in the MA include tests according to the current pharmacopoeia and quality guidelines, and analytical methods should be able to detect/quantify relevant impurities to ICH and VICH thresholds.</w:t>
      </w:r>
    </w:p>
    <w:p>
      <w:r>
        <w:t>In cases where a Ph. Eur. monograph is revised in line with scientific advances to control an active substance, it can be useful for an MAH to work with the manufacturing sites and consider the need for early testing of the substance in question according to the draft revised monograph, and to submit comments on the draft monograph to the EDQM, if necessary. Such activities involving the MAH and manufacturer could be described in a technical agreement.</w:t>
      </w:r>
    </w:p>
    <w:p>
      <w:pPr>
        <w:pStyle w:val="Heading1"/>
      </w:pPr>
      <w:r>
        <w:t>5. Areas of the EC Guide to GMP that relate to MAHs (Fortsetzung)</w:t>
      </w:r>
    </w:p>
    <w:p>
      <w:pPr>
        <w:pStyle w:val="Heading2"/>
      </w:pPr>
      <w:r>
        <w:t>Other References to Continual Improvement:</w:t>
      </w:r>
    </w:p>
    <w:p>
      <w:r>
        <w:t>There are other references to continual improvement in the GMP Guide also which have relevance for the MAH. For example, Chapter 7, on Outsourcing, states that “the Contract Giver should monitor and review the performance of the Contract Acceptor and the identification and implementation of any needed improvement” (Ref. Chapter 7, Paragraph 7.7). This places a responsibility upon the MAH to perform such review and monitoring activities in cases when it is a contact giver for an outsourced operation involving medicines manufacturing. It is considered that part of this responsibility may be fulfilled through an MAH’s evaluation and assessment of the results of PQRs, as PQR data can be indicative of the performance of a manufacturer in the manufacture of a product.</w:t>
      </w:r>
    </w:p>
    <w:p>
      <w:pPr>
        <w:pStyle w:val="Heading1"/>
      </w:pPr>
      <w:r>
        <w:t>5. Areas of the EC Guide to GMP that relate to MAHs (Fortsetzung)</w:t>
      </w:r>
    </w:p>
    <w:p>
      <w:pPr>
        <w:pStyle w:val="Heading2"/>
      </w:pPr>
      <w:r>
        <w:t>Updating Manufacturing Processes in line with Changes to the EU GMP Guide:</w:t>
      </w:r>
    </w:p>
    <w:p>
      <w:r>
        <w:t>Finally, it is important to note that the MAH has some responsibility in ensuring that updates to the GMP guide are incorporated at manufacturing site level. This is because, in Directive 2001/83/EC, Annex I, it is stated that “the manufacturing process shall comply with the requirements of Directive 91/356/EEC [since replaced in 2003 by Directive 2003/94/EC] laying down the principles and guidelines of GMP for medicinal products for human use and with the principles and guidelines on GMP, published by the Commission in the rules governing medicinal products in the EC, Volume 4.” (It is noted that the Veterinary Regulation 2019/6 has similar wording in Annex I and Annex II.)</w:t>
      </w:r>
    </w:p>
    <w:p>
      <w:r>
        <w:t>The above relates to the manufacturing process as described in the MA, and as it is the MAH who seeks to register the manufacturing process in the dossier, the above Annex I requirement places an obligation upon the MAH to ensure that the registered manufacturing process is in line with current GMP guidance. This is relevant in the context of continual improvement, because the GMP Guide undergoes periodic improvement activities itself.</w:t>
      </w:r>
    </w:p>
    <w:p>
      <w:pPr>
        <w:pStyle w:val="Heading1"/>
      </w:pPr>
      <w:r>
        <w:t>6. Falsified Medicines Directive (FMD)-related</w:t>
      </w:r>
    </w:p>
    <w:p>
      <w:pPr>
        <w:pStyle w:val="Heading2"/>
      </w:pPr>
      <w:r>
        <w:t>Responsibilities</w:t>
      </w:r>
    </w:p>
    <w:p>
      <w:r>
        <w:t>In relation to medicinal products for human use, where applicable, the MAH has a number of responsibilities related to the Falsified Medicines Directive (FMD) 2011/62/EU and the related Delegated Regulations (including the Safety Features Regulation 2016/161). One of those responsibilities, as discussed in Section 5.2 of this Reflection Paper (Audits &amp; Qualification Activities), relates to the need to confirm the GMP status of the active substance manufacturer by means of GMP audits. This responsibility is stated in Article 8(ha) of Directive 2001/83/EC, which originated in the FMD Directive.</w:t>
      </w:r>
    </w:p>
    <w:p>
      <w:pPr>
        <w:pStyle w:val="Heading2"/>
      </w:pPr>
      <w:r>
        <w:t>Safety Features:</w:t>
      </w:r>
    </w:p>
    <w:p>
      <w:r>
        <w:t>Other FMD-related responsibilities concern safety features on product packaging:</w:t>
      </w:r>
    </w:p>
    <w:p>
      <w:r>
        <w:t>• Commission Delegated Regulation (EU) 2016/161 sets out what is expected of the MAH in relation to the upload to the repositories system of pack serialisation data, as well as responsibilities in relation to the decommissioning of pack serialisation codes.</w:t>
      </w:r>
    </w:p>
    <w:p>
      <w:r>
        <w:t>• Article 33 of this Regulation requires the MAH to ensure that the information of unique identifier and various additional defined data about the medicinal product and its distribution are "uploaded to the repositories system before the medicinal product is released for sale or distribution by the manufacturer, and that it is kept up to date thereafter." (Note that the Q&amp;A Document on the Commission’s Website provides additional guidance in this area – see Q&amp;A 4.5.)</w:t>
      </w:r>
    </w:p>
    <w:p>
      <w:r>
        <w:t>It is considered that the QP who certifies batches prior to their release to the market should be satisfied with the arrangements that have been put in place by the MAH for the upload of the safety features data to the repositories system. (In relation to QP responsibilities in this general area, it is useful to note that Annex 16 to the GMP Guide places a responsibility on the QP to ensure that the following point is secured, that:</w:t>
      </w:r>
    </w:p>
    <w:p>
      <w:r>
        <w:t>"In the case of medicinal products for human use intended to be placed on the market in the Union, the safety features referred to in Article 54(o) of Directive 2001/83/EC, as amended, have been affixed to the packaging, where appropriate." (Ref. Annex 16, Paragraph 1.7.21).</w:t>
      </w:r>
    </w:p>
    <w:p>
      <w:r>
        <w:t>Annex 16 indicates that this task may be delegated to “appropriately trained personnel or third parties”, and in this regard, the Annex recognises that the QP will “need to rely on the pharmaceutical quality system” that is in place and it requires the QP to have “on-going assurance that this reliance is well founded”. (Ref. Annex 16, Paragraph 1.7.)</w:t>
      </w:r>
    </w:p>
    <w:p>
      <w:r>
        <w:t>It is considered that the transfer of the unique identifier (UI) data from the location where they were generated until their upload to the European Hub is performed in a secure manner and in such as a way that the integrity of data is not compromised.</w:t>
      </w:r>
    </w:p>
    <w:p>
      <w:pPr>
        <w:pStyle w:val="Heading2"/>
      </w:pPr>
      <w:r>
        <w:t>The Repositories System &amp; MAH Responsibilities:</w:t>
      </w:r>
    </w:p>
    <w:p>
      <w:r>
        <w:t>The repositories system is expected to be established and managed by the MAHs (Ref. Paragraph 28 of the preamble text of Delegated Regulation (EU) 2016/161). Article 32 of the Delegated Regulation sets out the required structure of the repositories system – there should be a central information and data router (known as the European Hub) and repositories which serve the territory of one or multiple Member States. Those repositories are required to be connected to the EU-Hub. The European Medicines Verification Organisation (EMVO) is the organisation representing stakeholders who have taken responsibility for the formation of the European Medicines Verification System (EMVS/EU-Hub).</w:t>
      </w:r>
    </w:p>
    <w:p>
      <w:r>
        <w:t>Each EU Member State is expected to implement a National Medicines Verification System (NMVS) which will be set up and managed by a National Medicines Verification Organisation (NMVO). The MAHs are expected to liaise with both the EMVO and the relevant NMVOs for the concerned products.</w:t>
      </w:r>
    </w:p>
    <w:p>
      <w:r>
        <w:t>Various items of information are required to be uploaded to the repositories system, including:</w:t>
      </w:r>
    </w:p>
    <w:p>
      <w:r>
        <w:t>• The data elements of the unique identifier;</w:t>
      </w:r>
    </w:p>
    <w:p>
      <w:r>
        <w:t>• The coding scheme of the product code;</w:t>
      </w:r>
    </w:p>
    <w:p>
      <w:r>
        <w:t>• The name and the common name of the medicinal product, the pharmaceutical form, the strength, the pack type and the pack size;</w:t>
      </w:r>
    </w:p>
    <w:p>
      <w:r>
        <w:t>• The Member State or Member States where the medicinal product is intended to be placed on the market;</w:t>
      </w:r>
    </w:p>
    <w:p>
      <w:r>
        <w:t>• The name and address of the manufacturer placing the safety features;</w:t>
      </w:r>
    </w:p>
    <w:p>
      <w:r>
        <w:t>• A list of wholesalers who are designated by the MAH, by means of a written contract, to store and distribute the products covered by the marketing authorisation on his behalf.</w:t>
      </w:r>
    </w:p>
    <w:p>
      <w:r>
        <w:t>This and other information is intended to be stored in all of the national or supranational repositories serving the territory of the Member State, or Member States, where the medicinal product bearing the UI is intended to be placed on the market for at least one year after the expiry date of the medicinal product, or five years after the product has been released for sale or distribution, whichever is longer. The same responsibility applies to persons responsible for placing parallel imported or parallel distributed medicinal products onto the market.</w:t>
      </w:r>
    </w:p>
    <w:p>
      <w:pPr>
        <w:pStyle w:val="Heading2"/>
      </w:pPr>
      <w:r>
        <w:t>Serialisation Data - Uploading Responsibilities:</w:t>
      </w:r>
    </w:p>
    <w:p>
      <w:r>
        <w:t>The MAH may delegate the uploading of the information laid down in Article 33(2) to a third party; such delegation is expected to be documented in a written agreement between both parties. It is important to note that the MAH may subcontract, or delegate, data uploading only to parties which perform the data upload by means of infrastructure, hardware and software, which is physically located within the EEA. Importantly, the MAH remains legally responsible for such tasks, as stated in the document titled ‘Safety Features For Medicinal Products For Human Use; Questions And Answers’, available on the European Commission’s website.</w:t>
      </w:r>
    </w:p>
    <w:p>
      <w:pPr>
        <w:pStyle w:val="Heading2"/>
      </w:pPr>
      <w:r>
        <w:t>Unique Identifier Decommissioning Responsibilities:</w:t>
      </w:r>
    </w:p>
    <w:p>
      <w:r>
        <w:t>In relation to decommissioning, which is a term that relates to various pack statuses within the repositories, including the pack status called ‘supplied’, it is an MAH responsibility according to Article 40 of the Delegated Regulation to ensure the decommissioning of pack codes in the case of a product recall or withdrawal. Article 40 states that “the marketing authorisation holder shall promptly take all the following measures:</w:t>
      </w:r>
    </w:p>
    <w:p>
      <w:r>
        <w:t>(a) ensure the decommissioning of the unique identifier of a medicinal product which is to be recalled or withdrawn, in every national or supranational repository serving the territory of the Member State or Member States in which the recall or the withdrawal is to take place;</w:t>
      </w:r>
    </w:p>
    <w:p>
      <w:r>
        <w:t>(b) ensure the decommissioning of the unique identifier, where known, of a medicinal product which has been stolen, in every national or supranational repository in which information on that product is stored;</w:t>
      </w:r>
    </w:p>
    <w:p>
      <w:r>
        <w:t>(c) indicate in the repositories referred to in points (a) and (b) that that product has been recalled or withdrawn or stolen, where applicable.”</w:t>
      </w:r>
    </w:p>
    <w:p>
      <w:r>
        <w:t>The same responsibility applies to persons responsible for placing parallel imported or parallel distributed medicinal products onto the market.</w:t>
      </w:r>
    </w:p>
    <w:p>
      <w:r>
        <w:t>It is worth noting that “decommissioned” as such is not a status in the system; multiple statuses that are different from “active” have been developed in the EMVS by EMVO, such as “RECALLED”, “DESTROYED” or “STOLEN”. All of these are considered as “decommissioned”.</w:t>
      </w:r>
    </w:p>
    <w:p>
      <w:r>
        <w:t>For the above responsibilities to be met by the MAH, it is considered that there should be robust communication systems in place between the MAH and the manufacturer (or other third party) to whom such tasks have been delegated. This is because the various data elements that must be uploaded to the repositories system may be held by the different entities – the manufacturer will likely hold the actual pack serialisation codes per batch, while the MAH may hold the information about the wholesalers which have been designated by it to store and distribute the product, as well as information about the distribution of free medical samples and about product recall actions.</w:t>
      </w:r>
    </w:p>
    <w:p>
      <w:pPr>
        <w:pStyle w:val="Heading1"/>
      </w:pPr>
      <w:r>
        <w:t>7. Conclusion</w:t>
      </w:r>
    </w:p>
    <w:p>
      <w:r>
        <w:t>The EU Guide to GMP refers in several places to MAH companies and their responsibilities in relation to GMP. Such responsibilities are spread over various chapters and annexes of the Guide, and are quite numerous. There are also various GMP-related responsibilities for MAHs stated in applicable medicines legislation. There appears, however, to be a lack of clarity and understanding as to what these responsibilities actually are in their totality, and what they mean for MAHs, especially at a practical level. Thus, it was considered that it would be of benefit to MAHs (and also to manufacturers, GMP Inspectors and other stakeholders) if these responsibilities were documented in one place and adequately explained. This Reflection Paper seeks to address this. While it is recognised that many MAH companies are not directly engaged in the manufacture of medicinal products themselves, GMP is an area that has direct relevance for them. Indeed, it is of interest that the GMP Guide states the following: “…the ultimate responsibility for the performance of a medicinal product over its lifetime, its safety, quality and efficacy, lies with the marketing authorisation holder”. A significant part of the performance of a medicinal product relates to compliance with the GMP requirements during product manufacturing.</w:t>
      </w:r>
    </w:p>
    <w:p>
      <w:r>
        <w:t>This Reflection Paper sets out what the various responsibilities for MAHs are and it seeks to explain their practical implications. It essentially seeks to present a more complete picture of the regulatory environment with respect to GMP in which the MAH operates. It groups the responsibilities under a number of different themes; this is in an effort to illustrate the general areas in which the responsibilities lie, and to provide a holistic view of them. It is intended that this Reflection Paper will provide increased clarity for MAHs in this area, and that it will serve as a useful resource for MAHs when designing (or reviewing) their internal systems as well as their interactions with manufacturing sites.</w:t>
      </w:r>
    </w:p>
    <w:p>
      <w:r>
        <w:t>Overall, this Reflection Paper is intended to be of assistance to MAHs as they work with the product manufacturers and other stakeholders to facilitate compliance of the medicines placed on the market, in terms of GMP and the MA. This ultimately serves the interests of patients and animals, as it contributes to ensuring the availability of high quality, safe and effective medicines.</w:t>
      </w:r>
    </w:p>
    <w:p>
      <w:pPr>
        <w:pStyle w:val="Heading1"/>
      </w:pPr>
      <w:r>
        <w:t>8. References</w:t>
      </w:r>
    </w:p>
    <w:p>
      <w:r>
        <w:t>The Rules Governing Medicinal Products in the European Union Volume 4 Good Manufacturing Practice Medicinal Products for Human and Veterinary Use https://ec.europa.eu/health/documents/eudralex/vol-4_en</w:t>
      </w:r>
    </w:p>
    <w:p>
      <w:r>
        <w:t>The Rules Governing Medicinal Products in the European Union Volume 2B Presentation and Content of the Dossier (Human Medicinal Products) https://ec.europa.eu/health/sites/default/files/files/eudralex/vol-2/b/update_200805/ctd_052008_en.pdf</w:t>
      </w:r>
    </w:p>
    <w:p>
      <w:r>
        <w:t>The Rules Governing Medicinal Products in the European Union Volume 6B Presentation and Content of Application Dossier (Veterinary Medicinal Products) https://ec.europa.eu/health/sites/default/files/files/eudralex/vol-6/b/nta_volume_6b_2015_.pdf</w:t>
      </w:r>
    </w:p>
    <w:p>
      <w:r>
        <w:t>Directive 2001/83/EC of the European Parliament and of the Council of 6 November 2001 on the Community code relating to medicinal products for human use. (Consolidated version : 16/11/2012) http://eur-lex.europa.eu/legal-content/EN/TXT/PDF/?uri=CELEX:02001L008320121116&amp;qid=1472567249742&amp;from=EN https://ec.europa.eu/health/sites/health/files/files/eudralex/vol1/dir_2001_83_consol_2012/dir_2001_83_cons_2012_en.pdf</w:t>
      </w:r>
    </w:p>
    <w:p>
      <w:r>
        <w:t>Regulation (EU) 2019/6 of the European Parliament and of the Council of 11 December 2018 on veterinary medicinal products and repealing Directive 2001/82/EC. https://eur-lex.europa.eu/legalcontent/EN/TXT/PDF/?uri=CELEX:32019R0006&amp;from=EN</w:t>
      </w:r>
    </w:p>
    <w:p>
      <w:r>
        <w:t>Commission Directive 2003/94/EC of 8 October 2003 laying down the principles and guidelines of good manufacturing practice in respect of medicinal products for human use and investigational medicinal products for human use http://eur-lex.europa.eu/LexUriServ/LexUriServ.do?uri=OJ:L:2003:262:0022:0026:en:PDF</w:t>
      </w:r>
    </w:p>
    <w:p>
      <w:r>
        <w:t>Directive 1991/412/EEC of 23 July 1991 laying down the principles and guidelines of good manufacturing practice for veterinary medicinal products https://ec.europa.eu/health//sites/health/files/files/eudralex/vol5/dir_1991_412/dir_1991_412_en.pdf</w:t>
      </w:r>
    </w:p>
    <w:p>
      <w:r>
        <w:t>Commission Directive (EU) 2017/1572 of 15 September 2017 supplementing Directive 2001/83/EC of the European Parliament and of the Council as regards the principles and guidelines of good manufacturing practice for medicinal products for human use https://eur-lex.europa.eu/eli/dir/2017/1572/oj Directive 2011/62/EU of the European Parliament and of the Council of 8 June 2011 amending Directive 2001/83/EC on the Community code relating to medicinal products for human use, as regards the prevention of the entry into the legal supply chain of falsified medicinal products http://eur-lex.europa.eu/LexUriServ/LexUriServ.do?uri=OJ:L:2011:174:0074:0087:EN:PDF</w:t>
      </w:r>
    </w:p>
    <w:p>
      <w:r>
        <w:t>Commission Delegated Regulation (EU) No 2016/161 of 2 October 2015 supplementing Directive 2001/83/EC of the European Parliament and of the Council by laying down detailed rules for the safety features appearing on the packaging of medicinal products for human use (OJ L 32, 9.2.2016, p. 1-27) https://ec.europa.eu/health/sites/health/files/files/eudralex/vol1/reg_2016_161/reg_2016_161_en.pdf</w:t>
      </w:r>
    </w:p>
    <w:p>
      <w:r>
        <w:t>European Medicines Agency: EMA/196292/2014; Guidance for the template for the qualified person’s declaration concerning GMP compliance of active substance manufacture “The QP declaration template” http://www.ema.europa.eu/docs/en_GB/document_library/Regulatory_and_procedural_guideline/2014 /06/WC500167852.pdf</w:t>
      </w:r>
    </w:p>
    <w:p>
      <w:r>
        <w:t>ICH Q10, Pharmaceutical Quality System, dated 4 June 2008 http://www.ich.org/fileadmin/Public_Web_Site/ICH_Products/Guidelines/Quality/Q10/Step4/Q10_Guid eline.pdf</w:t>
      </w:r>
    </w:p>
    <w:p>
      <w:r>
        <w:t>Final Concept Paper on ICH Q12: Technical and Regulatory Considerations for Pharmaceutical Product Lifecycle Management, dated 28 July 2014, Endorsed by the ICH Steering Committee on 9 September 2014 http://www.ich.org/fileadmin/Public_Web_Site/ICH_Products/Guidelines/Quality/Q12/Q12_Final_Conce pt_Paper_July_2014.pdf</w:t>
      </w:r>
    </w:p>
    <w:p>
      <w:r>
        <w:t>ICH Q12, Technical and Regulatory Considerations for Pharmaceutical Product Lifecycle Management, adopted 20 November 2019 https://database.ich.org/sites/default/files/Q12_Guideline_Step4_2019_1119.pdf</w:t>
      </w:r>
    </w:p>
    <w:p>
      <w:r>
        <w:t>Veterinary ICH Impurities Guidelines http://www.vichsec.org/guidelines/pharmaceuticals/pharma-quality/impurities.html</w:t>
      </w:r>
    </w:p>
    <w:p>
      <w:r>
        <w:t>PDA Technical Report No. 68 titled Risk-based Approach for Prevention and Management of Drug Shortages, January 2015, available at https://store.pda.org/ProductCatalog/</w:t>
      </w:r>
    </w:p>
    <w:p>
      <w:r>
        <w:t>ISPE Drug Shortages Prevention Plan, A Holistic View from Root Cause to Prevention, October 2014 https://www.ispe.org/sites/default/files/initiatives/drug-shortages/drug-shortages-prevention-plan.pdf</w:t>
      </w:r>
    </w:p>
    <w:p>
      <w:r>
        <w:t>Prevention of Drug Shortages Based on Quality and Manufacturing Issues, Final report by the interassociations team with representatives from EFPIA / EGA / AESGP / PPTA, ISPE, and PDA, 23/12/2014 https://ispe.org/sites/default/files/initiatives/drug-shortages/prevention-drug-shortages-reportema.pdf</w:t>
      </w:r>
    </w:p>
    <w:p>
      <w:r>
        <w:t>Guidelines of 5 November 2013 on Good Distribution Practice of medicinal products for human (Text with EEA relevance) 2013/C 343/01 http://eur-lex.europa.eu/legalcontent/EN/TXT/?uri=uriserv:OJ.C_.2013.343.01.0001.01.ENG&amp;toc=OJ:C:2013:343:TOC</w:t>
      </w:r>
    </w:p>
    <w:p>
      <w:r>
        <w:t>Compliance Management Procedure - Compilation of Union Procedures on Inspections and Exchange of Information - revision 18 (europa.eu)</w:t>
      </w:r>
    </w:p>
    <w:p>
      <w:pPr>
        <w:pStyle w:val="Heading1"/>
      </w:pPr>
      <w:r>
        <w:t>9. List of Abbreviations</w:t>
      </w:r>
    </w:p>
    <w:p>
      <w:pPr>
        <w:pStyle w:val="Heading2"/>
      </w:pPr>
      <w:r>
        <w:t>ATMP Advanced Therapy Medicinal Products</w:t>
      </w:r>
    </w:p>
    <w:p>
      <w:r>
        <w:t>ASMF Active Substance Master File CTD Common Technical Document</w:t>
      </w:r>
    </w:p>
    <w:p>
      <w:pPr>
        <w:pStyle w:val="Heading2"/>
      </w:pPr>
      <w:r>
        <w:t>CAPA Corrective Actions and Preventive Actions</w:t>
      </w:r>
    </w:p>
    <w:p>
      <w:r>
        <w:t>CEP Certificate of Suitability to the monographs of the European Pharmacopoeia</w:t>
      </w:r>
    </w:p>
    <w:p>
      <w:pPr>
        <w:pStyle w:val="Heading2"/>
      </w:pPr>
      <w:r>
        <w:t>CHMP Committee for Medicinal Products for Human use</w:t>
      </w:r>
    </w:p>
    <w:p>
      <w:pPr>
        <w:pStyle w:val="Heading2"/>
      </w:pPr>
      <w:r>
        <w:t>CMO Contract Manufacturing Organisation</w:t>
      </w:r>
    </w:p>
    <w:p>
      <w:pPr>
        <w:pStyle w:val="Heading2"/>
      </w:pPr>
      <w:r>
        <w:t>EC European Commission</w:t>
      </w:r>
    </w:p>
    <w:p>
      <w:pPr>
        <w:pStyle w:val="Heading2"/>
      </w:pPr>
      <w:r>
        <w:t>EDQM European Directorate for the Quality of Medicines</w:t>
      </w:r>
    </w:p>
    <w:p>
      <w:pPr>
        <w:pStyle w:val="Heading2"/>
      </w:pPr>
      <w:r>
        <w:t>EMA European Medicines Agency</w:t>
      </w:r>
    </w:p>
    <w:p>
      <w:pPr>
        <w:pStyle w:val="Heading2"/>
      </w:pPr>
      <w:r>
        <w:t>EEA European Economic Area</w:t>
      </w:r>
    </w:p>
    <w:p>
      <w:pPr>
        <w:pStyle w:val="Heading2"/>
      </w:pPr>
      <w:r>
        <w:t>EMVO European Medicines Verification Organisation</w:t>
      </w:r>
    </w:p>
    <w:p>
      <w:pPr>
        <w:pStyle w:val="Heading2"/>
      </w:pPr>
      <w:r>
        <w:t>EMVS European</w:t>
      </w:r>
    </w:p>
    <w:p>
      <w:r>
        <w:t>EudraGMDP - the name for the Union database referred to in article 111(6) of Directive 2001/83/EC and article 80(6) of Directive 2001/82/EC</w:t>
      </w:r>
    </w:p>
    <w:p>
      <w:pPr>
        <w:pStyle w:val="Heading2"/>
      </w:pPr>
      <w:r>
        <w:t>EUDRA European Union Drug Regulatory Authority</w:t>
      </w:r>
    </w:p>
    <w:p>
      <w:pPr>
        <w:pStyle w:val="Heading2"/>
      </w:pPr>
      <w:r>
        <w:t>FMD Falsified Medicines Directive (2011/62/EU)</w:t>
      </w:r>
    </w:p>
    <w:p>
      <w:pPr>
        <w:pStyle w:val="Heading2"/>
      </w:pPr>
      <w:r>
        <w:t>GDP Good Distribution Practice</w:t>
      </w:r>
    </w:p>
    <w:p>
      <w:pPr>
        <w:pStyle w:val="Heading2"/>
      </w:pPr>
      <w:r>
        <w:t>GMP Good Manufacturing Practice</w:t>
      </w:r>
    </w:p>
    <w:p>
      <w:pPr>
        <w:pStyle w:val="Heading2"/>
      </w:pPr>
      <w:r>
        <w:t>GMDP Good Manufacturing Practice / Good Distribution Practice</w:t>
      </w:r>
    </w:p>
    <w:p>
      <w:pPr>
        <w:pStyle w:val="Heading2"/>
      </w:pPr>
      <w:r>
        <w:t>HVAC Heating, Ventilation and Air Conditioning</w:t>
      </w:r>
    </w:p>
    <w:p>
      <w:pPr>
        <w:pStyle w:val="Heading2"/>
      </w:pPr>
      <w:r>
        <w:t>ISPE International Society for Pharmaceutical Engineering</w:t>
      </w:r>
    </w:p>
    <w:p>
      <w:r>
        <w:t>ICH International Council for Harmonisation of Technical Requirements for Pharmaceuticals for Human Use</w:t>
      </w:r>
    </w:p>
    <w:p>
      <w:pPr>
        <w:pStyle w:val="Heading2"/>
      </w:pPr>
      <w:r>
        <w:t>MA Marketing Authorisation</w:t>
      </w:r>
    </w:p>
    <w:p>
      <w:pPr>
        <w:pStyle w:val="Heading2"/>
      </w:pPr>
      <w:r>
        <w:t>MAA Marketing Authorisation Application</w:t>
      </w:r>
    </w:p>
    <w:p>
      <w:pPr>
        <w:pStyle w:val="Heading2"/>
      </w:pPr>
      <w:r>
        <w:t>MAH Marketing Authorisation Holder</w:t>
      </w:r>
    </w:p>
    <w:p>
      <w:pPr>
        <w:pStyle w:val="Heading2"/>
      </w:pPr>
      <w:r>
        <w:t>MIA Manufacturing and Importation Authorisation</w:t>
      </w:r>
    </w:p>
    <w:p>
      <w:pPr>
        <w:pStyle w:val="Heading2"/>
      </w:pPr>
      <w:r>
        <w:t>NMVS National Medicines Verification System</w:t>
      </w:r>
    </w:p>
    <w:p>
      <w:pPr>
        <w:pStyle w:val="Heading2"/>
      </w:pPr>
      <w:r>
        <w:t>NMVO National Medicines Verification Organisation</w:t>
      </w:r>
    </w:p>
    <w:p>
      <w:pPr>
        <w:pStyle w:val="Heading2"/>
      </w:pPr>
      <w:r>
        <w:t>PDA Parenteral Drug Association</w:t>
      </w:r>
    </w:p>
    <w:p>
      <w:pPr>
        <w:pStyle w:val="Heading2"/>
      </w:pPr>
      <w:r>
        <w:t>PQR Product Quality Review</w:t>
      </w:r>
    </w:p>
    <w:p>
      <w:pPr>
        <w:pStyle w:val="Heading2"/>
      </w:pPr>
      <w:r>
        <w:t>QP Qualified Person</w:t>
      </w:r>
    </w:p>
    <w:p>
      <w:pPr>
        <w:pStyle w:val="Heading2"/>
      </w:pPr>
      <w:r>
        <w:t>PQS Pharmaceutical Quality System</w:t>
      </w:r>
    </w:p>
    <w:p>
      <w:pPr>
        <w:pStyle w:val="Heading2"/>
      </w:pPr>
      <w:r>
        <w:t>QMS Quality Management System RH Registration Holder</w:t>
      </w:r>
    </w:p>
    <w:p>
      <w:pPr>
        <w:pStyle w:val="Heading2"/>
      </w:pPr>
      <w:r>
        <w:t>RP Responsible Person</w:t>
      </w:r>
    </w:p>
    <w:p>
      <w:pPr>
        <w:pStyle w:val="Heading2"/>
      </w:pPr>
      <w:r>
        <w:t>SOP Standard Operating Procedure</w:t>
      </w:r>
    </w:p>
    <w:p>
      <w:pPr>
        <w:pStyle w:val="Heading2"/>
      </w:pPr>
      <w:r>
        <w:t>TRH Traditional-use Registration Holder</w:t>
      </w:r>
    </w:p>
    <w:p>
      <w:pPr>
        <w:pStyle w:val="Heading2"/>
      </w:pPr>
      <w:r>
        <w:t>UI Unique Identifier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Reflection Paper GMP und Zulassungsinhaber (EN) (3 von 3) Kap 5-9 Falsified Medicines, Conclusion</dc:title>
  <dc:subject>https://health.ec.europa.eu/document/download/c3bac13b-689e-4d01-8321-dbf088bb692a_en?filename=gmp_mah_rp_en.pdf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