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(11 von 12) Anhang VII-VIII VERWENDUNG IONISIERENDER STRAHLEN</w:t>
      </w:r>
    </w:p>
    <w:p>
      <w:r>
        <w:t>Quelle: Amtsblatt der EU, CELEX 32025R2091, https://eur-lex.europa.eu/legal-content/DE/TXT/?uri=CELEX:32025R2091</w:t>
      </w:r>
    </w:p>
    <w:p>
      <w:pPr>
        <w:pStyle w:val="Heading1"/>
      </w:pPr>
      <w:r>
        <w:t>ANHANG VII VERWENDUNG IONISIERENDER STRAHLEN BEI DER HERSTELLUNG VON TIERARZNEIMITTELN</w:t>
      </w:r>
    </w:p>
    <w:p>
      <w:pPr>
        <w:pStyle w:val="Heading2"/>
      </w:pPr>
      <w:r>
        <w:t>I. ALLGEMEINE BESTIMMUNGEN</w:t>
      </w:r>
    </w:p>
    <w:p>
      <w:r>
        <w:t>Die Anforderungen in diesem Anhang gelten für die Verwendung ionisierender Strahlen bei der Herstellung von Tierarzneimitteln. Die in diesem Anhang festgelegten besonderen Anforderungen gelten nur für den Prozess, in dem ionisierende Strahlen eingesetzt werden. Andere Aspekte des Herstellungsprozesses müssen gegebenenfalls den in dieser Verordnung festgelegten Anforderungen entsprechen.</w:t>
      </w:r>
    </w:p>
    <w:p>
      <w:r>
        <w:t>Die anzuwendende Strahlungsdosis, einschließlich der entsprechenden Grenzwerte, ist in der Zulassung anzugeben.</w:t>
      </w:r>
    </w:p>
    <w:p>
      <w:pPr>
        <w:pStyle w:val="Heading2"/>
      </w:pPr>
      <w:r>
        <w:t>II. RÄUMLICHKEITEN</w:t>
      </w:r>
    </w:p>
    <w:p>
      <w:r>
        <w:t>Die Räumlichkeiten sind so auszulegen und zu betreiben, dass bestrahlte Behälter von nicht bestrahlten Behältern getrennt werden, um eine Kreuzkontamination zu vermeiden. Werden Materialien in geschlossenen Bestrahlungsbehältern gehandhabt, so ist es unter Umständen nicht erforderlich, Materialien für die Herstellung von Arzneimitteln von anderen Materialarten zu trennen, sofern nicht die Gefahr besteht, dass erstere durch letztere kontaminiert werden. Jede Möglichkeit einer Kontamination der Produkte durch Radionuklid aus der Quelle ist auszuschließen.</w:t>
      </w:r>
    </w:p>
    <w:p>
      <w:pPr>
        <w:pStyle w:val="Heading2"/>
      </w:pPr>
      <w:r>
        <w:t>III. AUSRÜSTUNG</w:t>
      </w:r>
    </w:p>
    <w:p>
      <w:pPr>
        <w:pStyle w:val="Heading2"/>
      </w:pPr>
      <w:r>
        <w:t>III.1. Dosimeter</w:t>
      </w:r>
    </w:p>
    <w:p>
      <w:r>
        <w:rPr>
          <w:b/>
        </w:rPr>
        <w:t>Tabelle (zeilenweise wiedergegeben):</w:t>
      </w:r>
    </w:p>
    <w:p>
      <w:pPr>
        <w:pStyle w:val="ListBullet"/>
      </w:pPr>
      <w:r>
        <w:t>III.1.1. | Die verwendeten Dosimeter sind nach den einschlägigen Standards zu kalibrieren. Die Gültigkeitsdauer der Kalibrierung ist schriftlich mit einer angemessenen Begründung zu dokumentieren und einzuhalten.</w:t>
      </w:r>
    </w:p>
    <w:p>
      <w:pPr>
        <w:pStyle w:val="ListBullet"/>
      </w:pPr>
      <w:r>
        <w:t>III.1.2. | Die Bestimmung der Kalibrierkurve der Dosimeter und die Messung der Veränderung ihrer Absorption nach der Bestrahlung hat in der Regel mit dem gleichen Gerät zu erfolgen. Wird ein anderes Gerät verwendet, so ist die absolute Absorption jedes Geräts festzustellen.</w:t>
      </w:r>
    </w:p>
    <w:p>
      <w:pPr>
        <w:pStyle w:val="ListBullet"/>
      </w:pPr>
      <w:r>
        <w:t>III.1.3. | Je nach Art des verwendeten Dosimeters sind mögliche Ursachen für Ungenauigkeiten, einschließlich einer Änderung des Feuchtigkeitsgehalts, einer Temperaturänderung, der zwischen der Bestrahlung und der Messung verstrichenen Zeit oder der Dosisleistung, gebührend zu berücksichtigen.</w:t>
      </w:r>
    </w:p>
    <w:p>
      <w:pPr>
        <w:pStyle w:val="ListBullet"/>
      </w:pPr>
      <w:r>
        <w:t>III.1.4. | Die Wellenlänge des Geräts, das zur Messung der Veränderung der Absorption von Dosimetern verwendet wird, und des Geräts, das zur Messung ihrer Dicke verwendet wird, ist regelmäßig in Abständen, die unter Berücksichtigung der Stabilität, des Zwecks und der Verwendung festgelegt werden, Kalibrierprüfungen zu unterziehen.</w:t>
      </w:r>
    </w:p>
    <w:p>
      <w:pPr>
        <w:pStyle w:val="Heading2"/>
      </w:pPr>
      <w:r>
        <w:t>III.2. Bestrahlungsanlagen</w:t>
      </w:r>
    </w:p>
    <w:p>
      <w:pPr>
        <w:pStyle w:val="Heading2"/>
      </w:pPr>
      <w:r>
        <w:t>III.2.1. Qualifizierung</w:t>
      </w:r>
    </w:p>
    <w:p>
      <w:r>
        <w:rPr>
          <w:b/>
        </w:rPr>
        <w:t>Tabelle (zeilenweise wiedergegeben):</w:t>
      </w:r>
    </w:p>
    <w:p>
      <w:pPr>
        <w:pStyle w:val="ListBullet"/>
      </w:pPr>
      <w:r>
        <w:t>III.2.1.1. | Es ist durch geeignete Unterlagen nachzuweisen, dass die Bestrahlungsanlagen in der Lage sind, bei Betrieb gemäß den Prozessspezifikationen innerhalb der vorgegebenen Grenzwerte eine gleichbleibende Leistung zu erbringen. In diesem Zusammenhang sind die vorgegebenen Grenzwerte die Höchst- und Mindestdosen, die vom Bestrahlungsbehälter absorbiert werden sollen. Änderungen beim Betrieb der Bestrahlungsanlage, durch die dem Behälter ohne Wissen des Betreibers eine außerhalb dieser Grenzwerte liegende Dosis zugeführt wird, müssen ausgeschlossen sein.</w:t>
      </w:r>
    </w:p>
    <w:p>
      <w:pPr>
        <w:pStyle w:val="ListBullet"/>
      </w:pPr>
      <w:r>
        <w:t>III.2.1.2. | Bei einer Änderung am Verfahren oder an der Bestrahlungsanlage, die sich auf die dem Bestrahlungsbehälter zugeführte Dosis auswirken könnte (z. B. Wechsel der Strahlenquellen), ist erneut zu prüfen, ob die Bestrahlungsanlage weiterhin innerhalb der vorgegebenen Grenzwerte eine gleichbleibende Leistung erbringt. Der Umfang der erforderlichen Prüfung hängt vom Ausmaß der Änderung an der Bestrahlungsanlage oder der Beladung ab.</w:t>
      </w:r>
    </w:p>
    <w:p>
      <w:pPr>
        <w:pStyle w:val="Heading2"/>
      </w:pPr>
      <w:r>
        <w:t>III.2.2. Gamma-Bestrahlungsanlagen</w:t>
      </w:r>
    </w:p>
    <w:p>
      <w:pPr>
        <w:pStyle w:val="Heading2"/>
      </w:pPr>
      <w:r>
        <w:t>III.2.2.1. Konstruktion</w:t>
      </w:r>
    </w:p>
    <w:p>
      <w:r>
        <w:t>Bei der Konstruktion der Bestrahlungsanlage ist zu berücksichtigen, dass die Dosis, die von einem bestimmten Teil eines Bestrahlungsbehälters an einer beliebigen definierten Stelle der Bestrahlungsanlage empfangen wird, durch folgende Faktoren beeinflusst werden kann:</w:t>
      </w:r>
    </w:p>
    <w:p>
      <w:r>
        <w:t>— die Aktivität und die Geometrie der Quelle</w:t>
      </w:r>
    </w:p>
    <w:p>
      <w:r>
        <w:t>— den Abstand von der Quelle zum Behälter</w:t>
      </w:r>
    </w:p>
    <w:p>
      <w:r>
        <w:t>— die Dauer der Bestrahlung, die durch die Einstellung des Timers oder die Fördergeschwindigkeit geregelt wird</w:t>
      </w:r>
    </w:p>
    <w:p>
      <w:r>
        <w:t>— die Zusammensetzung und Dichte des Materials, einschließlich anderer Produkte, zwischen der Quelle und dem jeweiligen Teil des Behälters</w:t>
      </w:r>
    </w:p>
    <w:p>
      <w:r>
        <w:t>— den Weg der Behälter durch ein Gerät für kontinuierliche Bestrahlung oder das Beladungsmuster einer Bestrahlungsanlage im Chargenmodus</w:t>
      </w:r>
    </w:p>
    <w:p>
      <w:r>
        <w:t>— die Anzahl der Expositionszyklen</w:t>
      </w:r>
    </w:p>
    <w:p>
      <w:pPr>
        <w:pStyle w:val="Heading2"/>
      </w:pPr>
      <w:r>
        <w:t>III.2.2.2. Dosiskartierung</w:t>
      </w:r>
    </w:p>
    <w:p>
      <w:r>
        <w:t>Aus dem Dosiskartierungsverfahren müssen Mindest- und Höchstwert der absorbierten Dosen im Produkt und auf der Behälteroberfläche für eine vorgegebene Auswahl an Bestrahlungsanlagenparametern, Produktdichten und Beladungsmustern hervorgehen.</w:t>
      </w:r>
    </w:p>
    <w:p>
      <w:r>
        <w:t>Für das Dosiskartierungsverfahren gilt Folgendes:</w:t>
      </w:r>
    </w:p>
    <w:p>
      <w:r>
        <w:t>a) Die Bestrahlungsanlage ist mit Bestrahlungsbehältern zu beschicken, die Phantomprodukte oder ein repräsentatives Produkt mit einheitlicher Dichte enthalten. Dosimeter sind in mindestens drei beschickte Bestrahlungsbehälter einzubringen, die – umgeben von ähnlichen Behältern oder Phantomprodukten – durch die Bestrahlungsanlage durchgeführt werden. Ist das Produkt nicht gleichmäßig angeordnet, so sind die Dosimeter in eine größere Anzahl von Behältern einzubringen.</w:t>
      </w:r>
    </w:p>
    <w:p>
      <w:r>
        <w:t>b) Die Anordnung der Dosimeter hängt von der Größe des Bestrahlungsbehälters ab. Bei Behältern bis 1 x 1 x 0,5 m könnte beispielsweise ein dreidimensionales Gitter von 20 cm geeignet sein, das so über den gesamten Behälter gelegt wird, dass die Außenflächen miterfasst werden. Wenn die voraussichtlichen Stellen mit der Mindest- und der Höchstdosis aus einer früheren Leistungsbewertung der Bestrahlungsanlage bekannt sind, könnten einige Dosimeter aus den Bereichen mit durchschnittlicher Dosierung entfernt und so angeordnet werden, dass sie in den Bereichen mit extremer Dosierung ein 10-cm-Gitter bilden.</w:t>
      </w:r>
    </w:p>
    <w:p>
      <w:r>
        <w:t>c) Im Idealfall sind Referenzdosimeter zu verwenden, da diese eine höhere Genauigkeit aufweisen. Routinedosimeter sind zulässig, doch wird empfohlen, zusätzlich an den voraussichtlichen Stellen der Mindest- und der Höchstdosis und an der Stelle für die Routineüberwachung in jedem der verwendeten Bestrahlungsbehälter Referenzdosimeter anzubringen. Die gemessenen Dosiswerte beinhalten eine zufallsbedingte Messunsicherheit, die sich anhand der Abweichungen bei den Wiederholungsmessungen abschätzen lässt.</w:t>
      </w:r>
    </w:p>
    <w:p>
      <w:r>
        <w:t>d) Die mit den Routinedosimetern gemessene Mindestdosis, die erforderlich ist, um sicherzustellen, dass alle Bestrahlungsbehälter die erforderliche Mindestdosis erhalten, ist unter Berücksichtigung der zufallsbedingten Messschwankungen der verwendeten Routinedosimeter einzustellen.</w:t>
      </w:r>
    </w:p>
    <w:p>
      <w:r>
        <w:t>e) Die Parameter der Bestrahlungsanlage sind während der Dosiskartierung konstant zu halten, zu überwachen und zu protokollieren. Die Protokolle sind zusammen mit den Ergebnissen der Dosismessungen und allen anderen aufgezeichneten Werten aufzubewahren.</w:t>
      </w:r>
    </w:p>
    <w:p>
      <w:pPr>
        <w:pStyle w:val="Heading2"/>
      </w:pPr>
      <w:r>
        <w:t>III.2.3. Elektronenbestrahlungsanlagen</w:t>
      </w:r>
    </w:p>
    <w:p>
      <w:pPr>
        <w:pStyle w:val="Heading2"/>
      </w:pPr>
      <w:r>
        <w:t>III.2.3.1. Konstruktion</w:t>
      </w:r>
    </w:p>
    <w:p>
      <w:r>
        <w:t>Bei der Konstruktion der Bestrahlungsanlage ist zu berücksichtigen, dass die Dosis, die von einem bestimmten Teil eines bestrahlten Produkts an einer beliebigen definierten Stelle der Bestrahlungsanlage aufgenommen wird, durch folgende Faktoren beeinflusst werden kann:</w:t>
      </w:r>
    </w:p>
    <w:p>
      <w:r>
        <w:t>— die Merkmale des Strahls, d. h.: Elektronenenergie, mittlere Strahlungsintensität, Breite und Homogenität des Strahlenbündels</w:t>
      </w:r>
    </w:p>
    <w:p>
      <w:r>
        <w:t>— die Fördergeschwindigkeit</w:t>
      </w:r>
    </w:p>
    <w:p>
      <w:r>
        <w:t>— die Zusammensetzung und Dichte des Produkts</w:t>
      </w:r>
    </w:p>
    <w:p>
      <w:r>
        <w:t>— die Zusammensetzung, Dichte und Dicke des Materials zwischen dem Austrittsfenster und dem jeweiligen Teil des Produkts</w:t>
      </w:r>
    </w:p>
    <w:p>
      <w:r>
        <w:t>— der Abstand zwischen Austrittsfenster und Behälter</w:t>
      </w:r>
    </w:p>
    <w:p>
      <w:pPr>
        <w:pStyle w:val="Heading2"/>
      </w:pPr>
      <w:r>
        <w:t>III.2.3.2. Dosiskartierung</w:t>
      </w:r>
    </w:p>
    <w:p>
      <w:r>
        <w:t>Aus dem Dosiskartierungsverfahren müssen Mindest- und Höchstwert der absorbierten Dosen im Produkt und auf der Behälteroberfläche für eine vorgegebene Auswahl an Bestrahlungsanlagenparametern, Produktdichten und Beladungsmustern hervorgehen.</w:t>
      </w:r>
    </w:p>
    <w:p>
      <w:r>
        <w:t>Für die Dosiskartierung sind die Dosimeter zwischen Schichten homogener Absorberfolien, die ein Phantomprodukt bilden, oder zwischen Schichten repräsentativer Produkte mit einheitlicher Dichte so anzubringen, dass innerhalb der maximalen Reichweite der Elektronen mindestens zehn Messungen durchgeführt werden können. Die Anforderungen gemäß Abschnitt III.2.2.2 Buchstaben b bis d gelten ebenfalls.</w:t>
      </w:r>
    </w:p>
    <w:p>
      <w:pPr>
        <w:pStyle w:val="Heading2"/>
      </w:pPr>
      <w:r>
        <w:t>IV. DOKUMENTATION</w:t>
      </w:r>
    </w:p>
    <w:p>
      <w:r>
        <w:rPr>
          <w:b/>
        </w:rPr>
        <w:t>Tabelle (zeilenweise wiedergegeben):</w:t>
      </w:r>
    </w:p>
    <w:p>
      <w:pPr>
        <w:pStyle w:val="ListBullet"/>
      </w:pPr>
      <w:r>
        <w:t>IV.1. | Die Anzahl der angelieferten, bestrahlten und versandten Behälter ist untereinander und mit den zugehörigen Unterlagen abzugleichen. Jede Abweichung ist zu melden und zu beheben.</w:t>
      </w:r>
    </w:p>
    <w:p>
      <w:pPr>
        <w:pStyle w:val="ListBullet"/>
      </w:pPr>
      <w:r>
        <w:t>IV.2. | Der Betreiber der Bestrahlungsanlage muss schriftlich den Bereich der Dosen zertifizieren, die jeder bestrahlte Behälter innerhalb einer Charge oder Lieferung erhalten hat.</w:t>
      </w:r>
    </w:p>
    <w:p>
      <w:pPr>
        <w:pStyle w:val="ListBullet"/>
      </w:pPr>
      <w:r>
        <w:t>IV.3. | Die Prozess- und Kontrollprotokolle für jede Bestrahlungscharge sind von einer benannten verantwortlichen Person zu prüfen, abzuzeichnen und aufzubewahren.</w:t>
      </w:r>
    </w:p>
    <w:p>
      <w:pPr>
        <w:pStyle w:val="ListBullet"/>
      </w:pPr>
      <w:r>
        <w:t>IV.4. | Die Dokumentation im Zusammenhang mit der Validierung/Qualifikation der Bestrahlungsanlage ist für einen Zeitraum von einem Jahr nach Ablauf des Verfalldatums bzw. von mindestens fünf Jahren nach der Freigabe des letzten in der Bestrahlungsanlage behandelten Produkts aufzubewahren, je nachdem, welcher Zeitraum länger ist.</w:t>
      </w:r>
    </w:p>
    <w:p>
      <w:pPr>
        <w:pStyle w:val="Heading2"/>
      </w:pPr>
      <w:r>
        <w:t>V. BEHANDLUNG</w:t>
      </w:r>
    </w:p>
    <w:p>
      <w:pPr>
        <w:pStyle w:val="Heading2"/>
      </w:pPr>
      <w:r>
        <w:t>V.1. Allgemeine Bestimmungen</w:t>
      </w:r>
    </w:p>
    <w:p>
      <w:r>
        <w:rPr>
          <w:b/>
        </w:rPr>
        <w:t>Tabelle (zeilenweise wiedergegeben):</w:t>
      </w:r>
    </w:p>
    <w:p>
      <w:pPr>
        <w:pStyle w:val="ListBullet"/>
      </w:pPr>
      <w:r>
        <w:t>V.1.1. | Die Bestrahlungsbehälter sind gemäß den bei der Validierung festgelegten spezifizierten Beladungsmustern anzuordnen.</w:t>
      </w:r>
    </w:p>
    <w:p>
      <w:pPr>
        <w:pStyle w:val="ListBullet"/>
      </w:pPr>
      <w:r>
        <w:t>V.1.2. | Während des Prozesses ist die an die Bestrahlungsbehälter abgegebene Strahlendosis unter Anwendung validierter Dosimetrieverfahren zu überwachen. Das Verhältnis zwischen dieser Dosis und der vom Produkt im Behälter absorbierten Dosis muss während der Prozessvalidierung und im Rahmen der Qualifizierung der Bestrahlungsanlage bestimmt worden sein.</w:t>
      </w:r>
    </w:p>
    <w:p>
      <w:pPr>
        <w:pStyle w:val="ListBullet"/>
      </w:pPr>
      <w:r>
        <w:t>V.1.3. | Es sind Strahlungsindikatoren zu verwenden, um bestrahlte und nicht bestrahlte Behälter zu unterscheiden. Sie dürfen jedoch weder als einziges Mittel zur Differenzierung verwendet noch als Hinweis auf eine zufriedenstellende Behandlung angesehen werden.</w:t>
      </w:r>
    </w:p>
    <w:p>
      <w:pPr>
        <w:pStyle w:val="ListBullet"/>
      </w:pPr>
      <w:r>
        <w:t>V.1.4. | Eine gleichzeitige Behandlung von Behältern mit unterschiedlichen Produkten in der Bestrahlungskammer darf nur dann erfolgen, wenn nachgewiesen ist, dass die von den einzelnen Behältern aufgenommene Strahlendosis innerhalb der festgelegten Grenzwerte liegt.</w:t>
      </w:r>
    </w:p>
    <w:p>
      <w:pPr>
        <w:pStyle w:val="ListBullet"/>
      </w:pPr>
      <w:r>
        <w:t>V.1.5. | Wird die erforderliche Strahlendosis anlagebedingt im Verlauf von mehr als einer Exposition oder mehr als einem Durchlauf erreicht, so ist dies im Rahmen des Vertrags anzugeben, einschließlich relevanter Angaben zu dem vorgegebenen Zeitraum. Ungeplante Unterbrechungen während der Bestrahlung, aufgrund derer der Bestrahlungsprozess die im Vertrag festgelegten Spezifikationen überschreitet, sind dem Auftraggeber mitzuteilen, der die sachkundige Person entsprechend informieren muss.</w:t>
      </w:r>
    </w:p>
    <w:p>
      <w:pPr>
        <w:pStyle w:val="ListBullet"/>
      </w:pPr>
      <w:r>
        <w:t>V.1.6. | Nicht bestrahlte Produkte sind jederzeit von bestrahlten Produkten zu trennen. Zu den dafür geeigneten Methoden zählen die Verwendung von Strahlungsindikatoren und die geeignete Gestaltung der Räumlichkeiten.</w:t>
      </w:r>
    </w:p>
    <w:p>
      <w:pPr>
        <w:pStyle w:val="Heading2"/>
      </w:pPr>
      <w:r>
        <w:t>V.2. Gamma-Bestrahlungsanlagen</w:t>
      </w:r>
    </w:p>
    <w:p>
      <w:r>
        <w:rPr>
          <w:b/>
        </w:rPr>
        <w:t>Tabelle (zeilenweise wiedergegeben):</w:t>
      </w:r>
    </w:p>
    <w:p>
      <w:pPr>
        <w:pStyle w:val="ListBullet"/>
      </w:pPr>
      <w:r>
        <w:t>V.2.1. | Bei kontinuierlicher Behandlung gilt Folgendes: a) Die Dosimeter sind so anzuordnen, dass mindestens zwei davon jederzeit der Bestrahlung ausgesetzt sind. b) Es muss eine Bestätigung für die richtige Anordnung der Quelle gegeben sein und zwischen der Position der Quelle und der Förderbewegung muss eine Kopplung bestehen. Die Fördergeschwindigkeit ist kontinuierlich zu überwachen und zu protokollieren.</w:t>
      </w:r>
    </w:p>
    <w:p>
      <w:pPr>
        <w:pStyle w:val="ListBullet"/>
      </w:pPr>
      <w:r>
        <w:t>V.2.2. | Bei Chargenbetrieb gilt Folgendes: a) Mindestens zwei Dosimeter sind so anzubringen, dass sie im Bereich der Mindestdosis liegen. b) Die Bewegung der Quelle und die Expositionszeiten für jede einzelne Charge sind zu überwachen und zu protokollieren.</w:t>
      </w:r>
    </w:p>
    <w:p>
      <w:pPr>
        <w:pStyle w:val="ListBullet"/>
      </w:pPr>
      <w:r>
        <w:t>V.2.3. | Um eine bestimmte gewünschte Dosis zu erreichen, muss die Timereinstellung oder die Fördergeschwindigkeit je nach dem Zerfall bzw. der Anreicherung der Quelle angepasst werden. Die Gültigkeitsdauer der Einstellung der Zeit oder der Geschwindigkeit ist zu protokollieren und einzuhalten.</w:t>
      </w:r>
    </w:p>
    <w:p>
      <w:pPr>
        <w:pStyle w:val="Heading2"/>
      </w:pPr>
      <w:r>
        <w:t>V.3. Elektronenbestrahlungsanlagen</w:t>
      </w:r>
    </w:p>
    <w:p>
      <w:r>
        <w:rPr>
          <w:b/>
        </w:rPr>
        <w:t>Tabelle (zeilenweise wiedergegeben):</w:t>
      </w:r>
    </w:p>
    <w:p>
      <w:pPr>
        <w:pStyle w:val="ListBullet"/>
      </w:pPr>
      <w:r>
        <w:t>V.3.1. | An jedem Behälter ist ein Dosimeter anzubringen.</w:t>
      </w:r>
    </w:p>
    <w:p>
      <w:pPr>
        <w:pStyle w:val="ListBullet"/>
      </w:pPr>
      <w:r>
        <w:t>V.3.2. | Die mittlere Strahlungsintensität, die Elektronenenergie, die Breite des Strahlenbündels und die Fördergeschwindigkeit sind kontinuierlich zu protokollieren. Diese Variablen sind mit Ausnahme der Fördergeschwindigkeit innerhalb der gemäß Abschnitt III.2.1 festgelegten vordefinierten Grenzwerte zu kontrollieren.</w:t>
      </w:r>
    </w:p>
    <w:p>
      <w:pPr>
        <w:pStyle w:val="Heading2"/>
      </w:pPr>
      <w:r>
        <w:t>VI. PROZESSVALIDIERUNG</w:t>
      </w:r>
    </w:p>
    <w:p>
      <w:r>
        <w:rPr>
          <w:b/>
        </w:rPr>
        <w:t>Tabelle (zeilenweise wiedergegeben):</w:t>
      </w:r>
    </w:p>
    <w:p>
      <w:pPr>
        <w:pStyle w:val="ListBullet"/>
      </w:pPr>
      <w:r>
        <w:t>VI.1. | Durch die Prozessvalidierung ist nachzuweisen, dass das Produkt mit der beabsichtigten Dosis die erwarteten Ergebnisse erzielt.</w:t>
      </w:r>
    </w:p>
    <w:p>
      <w:pPr>
        <w:pStyle w:val="ListBullet"/>
      </w:pPr>
      <w:r>
        <w:t>VI.2. | Die Validierung umfasst eine Dosiskartierung, um die Verteilung der Dosis innerhalb des Bestrahlungsbehälters bei der Verpackung des Produkts in einer bestimmten Konfiguration zu ermitteln.</w:t>
      </w:r>
    </w:p>
    <w:p>
      <w:pPr>
        <w:pStyle w:val="ListBullet"/>
      </w:pPr>
      <w:r>
        <w:t>VI.3. | Die Spezifikation des Bestrahlungsprozesses muss mindestens Folgendes umfassen: a) genaue Angaben zur Verpackung des Produkts; b) das/die Beladungsmuster des Produkts innerhalb des Bestrahlungsbehälters. Ist eine Mischung von Produkten im Bestrahlungsbehälter zulässig, so ist besonders darauf zu achten, dass dichte Erzeugnisse nicht unterdosiert oder andere Produkte durch dichte Produkte verdeckt werden. Jede gemischte Anordnung von Produkten ist anzugeben und zu validieren; c) das Beladungsmuster der Bestrahlungsbehälter um die Quelle (Chargenmodus) oder der Weg durch die Kammer (kontinuierlicher Modus); d) die Höchst- und Mindestwerte der vom Produkt aufgenommenen Dosis sowie die damit verbundene Routinedosimetrie; e) die Höchst- und Mindestwerte der vom Bestrahlungsbehälter absorbierten Dosis und die damit verbundene Routinedosimetrie zur Überwachung dieser absorbierten Dosis; f) sonstige Prozessparameter, einschließlich Dosisleistung, maximaler Expositionsdauer, Anzahl der Expositionen usw. Wird die Bestrahlung an einen Dritten ausgelagert, so sind die Buchstaben d und e in den Vertrag aufzunehmen.</w:t>
      </w:r>
    </w:p>
    <w:p>
      <w:pPr>
        <w:pStyle w:val="Heading2"/>
      </w:pPr>
      <w:r>
        <w:t>VII. MIKROBIOLOGISCHE ÜBERWACHUNG</w:t>
      </w:r>
    </w:p>
    <w:p>
      <w:r>
        <w:t>Die mikrobiologische Überwachung liegt in der Verantwortung des Herstellers des Tierarzneimittels. Gemäß der Zulassung ist vor der Bestrahlung gegebenenfalls eine Umgebungsüberwachung und eine Überwachung der mikrobiellen Belastung durchzuführen.</w:t>
      </w:r>
    </w:p>
    <w:p>
      <w:pPr>
        <w:pStyle w:val="Heading2"/>
      </w:pPr>
      <w:r>
        <w:t>VIII. UNTERAUFTRAGSVERGABE</w:t>
      </w:r>
    </w:p>
    <w:p>
      <w:r>
        <w:rPr>
          <w:b/>
        </w:rPr>
        <w:t>Tabelle (zeilenweise wiedergegeben):</w:t>
      </w:r>
    </w:p>
    <w:p>
      <w:pPr>
        <w:pStyle w:val="ListBullet"/>
      </w:pPr>
      <w:r>
        <w:t>VIII.1. | Wird die Strahlenbehandlung an einen Unterauftragnehmer vergeben, muss der Unterauftragnehmer über eine entsprechende Herstellungserlaubnis verfügen.</w:t>
      </w:r>
    </w:p>
    <w:p>
      <w:pPr>
        <w:pStyle w:val="ListBullet"/>
      </w:pPr>
      <w:r>
        <w:t>VIII.2. | Der Hersteller des Tierarzneimittels trägt die Verantwortung für die Qualität des Produkts, einschließlich der Erreichung des Ziels der Bestrahlung. Der Unterauftragnehmer für den Bestrahlungsprozess hat sicherzustellen, dass die vom Hersteller geforderte Strahlendosis dem Bestrahlungsbehälter (d. h. dem äußersten Behälter, in dem die Produkte bestrahlt werden) zugeführt wird.</w:t>
      </w:r>
    </w:p>
    <w:p>
      <w:pPr>
        <w:pStyle w:val="Heading1"/>
      </w:pPr>
      <w:r>
        <w:t>ANHANG VIII</w:t>
      </w:r>
    </w:p>
    <w:p>
      <w:pPr>
        <w:pStyle w:val="Heading2"/>
      </w:pPr>
      <w:r>
        <w:t>I. Muster für die Bestätigung der Teilherstellung</w:t>
      </w:r>
    </w:p>
    <w:p>
      <w:pPr>
        <w:pStyle w:val="Heading2"/>
      </w:pPr>
      <w:r>
        <w:t>[BRIEFKOPF DES HERSTELLERS, DER DIE HERSTELLUNGSTÄTIGKEIT AUSGEFÜHRT HAT]</w:t>
      </w:r>
    </w:p>
    <w:p>
      <w:r>
        <w:rPr>
          <w:b/>
        </w:rPr>
        <w:t>Tabelle (zeilenweise wiedergegeben):</w:t>
      </w:r>
    </w:p>
    <w:p>
      <w:pPr>
        <w:pStyle w:val="ListBullet"/>
      </w:pPr>
      <w:r>
        <w:t>1. | Name des Produkts und Beschreibung der Herstellungsstufe (z. B. Paracetamoltabletten, Primärverpackung in Blisterverpackungen).</w:t>
      </w:r>
    </w:p>
    <w:p>
      <w:pPr>
        <w:pStyle w:val="ListBullet"/>
      </w:pPr>
      <w:r>
        <w:t>2. | Chargennummer.</w:t>
      </w:r>
    </w:p>
    <w:p>
      <w:pPr>
        <w:pStyle w:val="ListBullet"/>
      </w:pPr>
      <w:r>
        <w:t>3. | Name und Anschrift der Herstellungsstätte, die die Teilherstellung durchführt.</w:t>
      </w:r>
    </w:p>
    <w:p>
      <w:pPr>
        <w:pStyle w:val="ListBullet"/>
      </w:pPr>
      <w:r>
        <w:t>4. | Verweis auf die schriftliche Vereinbarung über die Zuständigkeiten beider Parteien (gemäß Artikel 43).</w:t>
      </w:r>
    </w:p>
    <w:p>
      <w:pPr>
        <w:pStyle w:val="ListBullet"/>
      </w:pPr>
      <w:r>
        <w:t>5. | Bestätigung: Hiermit bestätige ich, dass die in der schriftlichen Vereinbarung gemäß Abschnitt 4 genannten Herstellungsstufen in voller Übereinstimmung mit den in der EU geltenden Anforderungen an die gute Herstellungspraxis und den in der von [Auftraggeber/Hersteller, der die Charge zertifiziert und freigibt] bereitgestellten Vereinbarung beschriebenen Bedingungen durchgeführt wurden.</w:t>
      </w:r>
    </w:p>
    <w:p>
      <w:pPr>
        <w:pStyle w:val="ListBullet"/>
      </w:pPr>
      <w:r>
        <w:t>6. | Name der sachkundigen Person, die die Teilherstellung bestätigt.</w:t>
      </w:r>
    </w:p>
    <w:p>
      <w:pPr>
        <w:pStyle w:val="ListBullet"/>
      </w:pPr>
      <w:r>
        <w:t>7. | Unterschrift der sachkundigen Person, die die Teilherstellung bestätigt.</w:t>
      </w:r>
    </w:p>
    <w:p>
      <w:pPr>
        <w:pStyle w:val="ListBullet"/>
      </w:pPr>
      <w:r>
        <w:t>8. | Datum der Unterzeichnung.</w:t>
      </w:r>
    </w:p>
    <w:p>
      <w:pPr>
        <w:pStyle w:val="Heading2"/>
      </w:pPr>
      <w:r>
        <w:t>II. Muster für das Zertifikat über die Chargenfreigabe</w:t>
      </w:r>
    </w:p>
    <w:p>
      <w:pPr>
        <w:pStyle w:val="Heading2"/>
      </w:pPr>
      <w:r>
        <w:t>[BRIEFKOPF DES HERSTELLERS, DER DIE CHARGE ZERTIFIZIERT UND FREIGIBT]</w:t>
      </w:r>
    </w:p>
    <w:p>
      <w:r>
        <w:rPr>
          <w:b/>
        </w:rPr>
        <w:t>Tabelle (zeilenweise wiedergegeben):</w:t>
      </w:r>
    </w:p>
    <w:p>
      <w:pPr>
        <w:pStyle w:val="ListBullet"/>
      </w:pPr>
      <w:r>
        <w:t>1. | Name, Stärke/Potenz, Darreichungsform und Packungsgröße (identisch mit dem Text auf der Verpackung des Fertigprodukts).</w:t>
      </w:r>
    </w:p>
    <w:p>
      <w:pPr>
        <w:pStyle w:val="ListBullet"/>
      </w:pPr>
      <w:r>
        <w:t>2. | Chargennummer des Fertigprodukts.</w:t>
      </w:r>
    </w:p>
    <w:p>
      <w:pPr>
        <w:pStyle w:val="ListBullet"/>
      </w:pPr>
      <w:r>
        <w:t>3. | Name des Bestimmungslands/der Bestimmungsländer der Charge, zumindest wenn sie innerhalb der EU liegen.</w:t>
      </w:r>
    </w:p>
    <w:p>
      <w:pPr>
        <w:pStyle w:val="ListBullet"/>
      </w:pPr>
      <w:r>
        <w:t>4. | Zertifizierungserklärung: Hiermit zertifiziere ich, dass alle Herstellungsstufen dieser Fertigproduktcharge in voller Übereinstimmung mit den in der EU geltenden Anforderungen an die gute Herstellungspraxis und den Anforderungen der Zulassung [nur bei Ausfuhr der Charge hinzuzufügen: im Bestimmungsland/in den Bestimmungsländern] durchgeführt wurden.</w:t>
      </w:r>
    </w:p>
    <w:p>
      <w:pPr>
        <w:pStyle w:val="ListBullet"/>
      </w:pPr>
      <w:r>
        <w:t>5. | Name der sachkundigen Person, die die Charge zertifiziert.</w:t>
      </w:r>
    </w:p>
    <w:p>
      <w:pPr>
        <w:pStyle w:val="ListBullet"/>
      </w:pPr>
      <w:r>
        <w:t>6. | Unterschrift der sachkundigen Person, die die Charge zertifiziert.</w:t>
      </w:r>
    </w:p>
    <w:p>
      <w:pPr>
        <w:pStyle w:val="ListBullet"/>
      </w:pPr>
      <w:r>
        <w:t>7. | Datum der Unterzeichnung.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(11 von 12) Anhang VII-VIII VERWENDUNG IONISIERENDER STRAHLEN</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