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(12 von 12) Anhang IX ECHTZEIT-FREIGABEPRÜFUNG</w:t>
      </w:r>
    </w:p>
    <w:p>
      <w:r>
        <w:t>Quelle: Amtsblatt der EU, CELEX 32025R2091, https://eur-lex.europa.eu/legal-content/DE/TXT/?uri=CELEX:32025R2091</w:t>
      </w:r>
    </w:p>
    <w:p>
      <w:pPr>
        <w:pStyle w:val="Heading1"/>
      </w:pPr>
      <w:r>
        <w:t>ANHANG IX ECHTZEIT-FREIGABEPRÜFUNG UND PARAMETRISCHE FREIGABE</w:t>
      </w:r>
    </w:p>
    <w:p>
      <w:pPr>
        <w:pStyle w:val="Heading2"/>
      </w:pPr>
      <w:r>
        <w:t>I. ECHTZEIT-FREIGABEPRÜFUNG</w:t>
      </w:r>
    </w:p>
    <w:p>
      <w:r>
        <w:rPr>
          <w:b/>
        </w:rPr>
        <w:t>Tabelle (zeilenweise wiedergegeben):</w:t>
      </w:r>
    </w:p>
    <w:p>
      <w:pPr>
        <w:pStyle w:val="ListBullet"/>
      </w:pPr>
      <w:r>
        <w:t>I.1. | Im Rahmen einer Echtzeit-Freigabeprüfung kann die Prüfung des Endprodukts im Zusammenhang mit der Chargenfreigabe durch eine Kombination aus Inprozessüberwachung und -kontrollen ersetzt werden. Dieser Ansatz darf nur gewählt werden, wenn dies gemäß der Zulassung erlaubt ist.</w:t>
      </w:r>
    </w:p>
    <w:p>
      <w:pPr>
        <w:pStyle w:val="ListBullet"/>
      </w:pPr>
      <w:r>
        <w:t>I.2. | Bei der Gestaltung der Strategie für die Echtzeit-Freigabeprüfung sind die folgenden Mindestkriterien zu berücksichtigen: — Durch die vorgeschlagene Echtzeitmessung und Kontrolle der relevanten Inprozess-Materialattribute und -Prozessparameter müssen die entsprechenden Attribute des Fertigprodukts genau prognostiziert werden können. — Es ist wissenschaftlich nachzuweisen, dass die Kombination der relevanten bewerteten Materialattribute und Prozesskontrollen, die die Prüfung des Endprodukts ersetzen sollen, geeignet ist. — Die kombinierten Prozessmessungen (Prozessparameter und Materialattribute) und alle anderen während des Herstellungsprozesses generierten Prüfdaten müssen eine solide Grundlage für die Entscheidung über die Chargenfreigabe bilden.</w:t>
      </w:r>
    </w:p>
    <w:p>
      <w:pPr>
        <w:pStyle w:val="ListBullet"/>
      </w:pPr>
      <w:r>
        <w:t>I.3. | Im Rahmen des pharmazeutischen Qualitätssystems wird eine Strategie für Echtzeit-Freigabeprüfungen integriert und kontrolliert, insbesondere in Bezug auf: a) Personal: Die Durchführung von Echtzeit-Freigabeprüfungen erfordert die Involvierung eines funktionsübergreifenden/multidisziplinären Teams mit einschlägiger Erfahrung auf Gebieten wie Technik, Analytik, chemometrische Modellierung oder Statistik. b) Kontrollstrategie: Bei der Durchführung von Echtzeit-Freigabeprüfungen ist es von entscheidender Bedeutung, die Stabilität der während des Herstellungsprozesses angewandten Kontrollen und ihre Eignung zu gewährleisten, um die Qualität des Produkts und eine gleichbleibende Produktion sicherzustellen. Die Kontrollstrategie wird über den gesamten Lebenszyklus unter Berücksichtigung der erworbenen Kenntnisse und im Einklang mit den Grundsätzen des Qualitätsrisikomanagements angepasst. c) Änderungsmanagement: Die in Artikel 26 Absatz 3 festgelegten Anforderungen sind bei der Durchführung von Echtzeit-Freigabeprüfungen besonders relevant. d) Validierungs- und Qualifizierungspolitik: Die Qualifizierung und Validierung von Analysemethoden innerhalb und außerhalb der Prozesslinie ist bei der Implementierung von Echtzeit-Freigabeprüfungen besonders wichtig, insbesondere wenn fortschrittliche Analysemethoden angewandt werden. Besondere Aufmerksamkeit ist der Stelle in der Herstellungsausrüstung zu widmen, an dem sich die Probenahmesonde befindet; e) jegliche Abweichungen und Prozessfehler sind gründlich zu untersuchen und etwaige negative Trends, die auf eine Änderung des Kontrollzustands des Prozesses, der Ausrüstung oder der Einrichtungen hindeuten, sind angemessen nachzuverfolgen; f) es ist wichtig, über den gesamten Lebenszyklus eines Produkts hinweg ein kontinuierliches Lernen durch Datenerhebung und -analyse sicherzustellen. Die Hersteller müssen Daten (einschließlich Datentrends) wissenschaftlich bewerten, um Möglichkeiten der Verbesserung von Qualität und/oder Konsistenz zu prüfen. Für die Umsetzung von Änderungen gilt Artikel 26 Absatz 3.</w:t>
      </w:r>
    </w:p>
    <w:p>
      <w:pPr>
        <w:pStyle w:val="ListBullet"/>
      </w:pPr>
      <w:r>
        <w:t>I.4. | Wenn in der Zulassung Echtzeit-Freigabeprüfungen genehmigt wurden, ist dieser Ansatz bei der Chargenfreigabe routinemäßig anzuwenden und darf nicht durch eine Prüfung des Endprodukts ersetzt werden (es sei denn, die Zulassungsbedingungen werden geändert). Falls die Ergebnisse der Echtzeit-Freigabeprüfungen ungenügend sind oder die Tendenz dazu zeigen, ist eine gründliche Untersuchung durchzuführen. Die Ergebnisse der Untersuchung sind bei der Entscheidung über die Chargenfreigabe gebührend zu berücksichtigen (die Freigabe darf nur erfolgen, wenn festgestellt wurde, dass das Produkt den Zulassungsbedingungen und der guten Herstellungspraxis entspricht). Die Entwicklungen sind in geeigneter Weise nachzuverfolgen.</w:t>
      </w:r>
    </w:p>
    <w:p>
      <w:pPr>
        <w:pStyle w:val="ListBullet"/>
      </w:pPr>
      <w:r>
        <w:t>I.5. | Die Attribute (z. B. Homogenität des Inhalts), die indirekt durch genehmigte Echtzeit-Freigabeprüfungen kontrolliert werden, müssen im Analysezertifikat für Chargen aufgeführt sein. Das zugelassene Verfahren für die Prüfung des Endprodukts ist anzugeben und die Ergebnisse sind als „Konform, wenn getestet“ mit der folgenden Fußnote anzugeben: „Durch genehmigte Echtzeit-Freigabeprüfungen kontrolliert“.</w:t>
      </w:r>
    </w:p>
    <w:p>
      <w:pPr>
        <w:pStyle w:val="Heading2"/>
      </w:pPr>
      <w:r>
        <w:t>II. PARAMETRISCHE FREIGABE</w:t>
      </w:r>
    </w:p>
    <w:p>
      <w:r>
        <w:rPr>
          <w:b/>
        </w:rPr>
        <w:t>Tabelle (zeilenweise wiedergegeben):</w:t>
      </w:r>
    </w:p>
    <w:p>
      <w:pPr>
        <w:pStyle w:val="ListBullet"/>
      </w:pPr>
      <w:r>
        <w:t>II.1. | Die parametrische Freigabe für im Endbehältnis sterilisierte Produkte ist die Freigabe einer Charge nach der Überprüfung kritischer Prozesskontrollparameter, nicht aber die Prüfung des Endprodukts auf Sterilität. Es gelten die in Anhang I festgelegten Anforderungen an die Sterilisation im Endbehältnis.</w:t>
      </w:r>
    </w:p>
    <w:p>
      <w:pPr>
        <w:pStyle w:val="ListBullet"/>
      </w:pPr>
      <w:r>
        <w:t>II.2. | Bei einer Prüfung des Endprodukts auf Sterilität lassen sich Kontaminationen nur begrenzt nachweisen, da im Verhältnis zur Gesamtchargengröße nur eine geringe Anzahl von Proben verwendet wird und zudem Kulturmedien nur das Wachstum einiger, aber nicht aller Mikroorganismen stimulieren können. Daher können durch eine Prüfung des Endprodukts auf Sterilität nur größere Fehler im Sterilitätssicherungssystem erkannt werden (d. h. ein Fehler, der zur Kontamination einer großen Anzahl von Produkteinheiten oder zu einer Kontamination durch die spezifischen Mikroorganismen führt, deren Wachstum durch die vorgeschriebenen Medien begünstigt wird). Demgegenüber können Daten, die bei Inprozesskontrollen (z. B. mikrobielle Belastung des Produkts vor der Sterilisation oder Umgebungsüberwachung) und bei der Überwachung der relevanten Sterilisationsparameter erhoben werden, genauere und relevantere Informationen zur Unterstützung der Sterilitätssicherung des Produkts liefern.</w:t>
      </w:r>
    </w:p>
    <w:p>
      <w:pPr>
        <w:pStyle w:val="ListBullet"/>
      </w:pPr>
      <w:r>
        <w:t>II.3. | Die parametrische Freigabe darf nur bei Produkten erfolgen, die in ihrem Endbehältnis entweder mit feuchter Hitze, trockener Hitze oder ionisierender Strahlung (dosimetrische Freigabe) gemäß den Anforderungen des Europäischen Arzneibuchs sterilisiert werden. Darüber hinaus muss der Hersteller die Einhaltung der guten Herstellungspraxis nachweisen können und ein solides Programm zur Sterilitätssicherung besitzen, um eine gleichbleibende Prozesskontrolle und ein gleichbleibendes Prozessverständnis nachzuweisen.</w:t>
      </w:r>
    </w:p>
    <w:p>
      <w:pPr>
        <w:pStyle w:val="ListBullet"/>
      </w:pPr>
      <w:r>
        <w:t>II.4. | Das Sterilitätssicherungsprogramm muss dokumentiert werden und mindestens die Identifizierung und Überwachung der kritischen Prozessparameter, die Entwicklung des Sterilisationszyklus und deren Validierung, die Validierung der Unversehrtheit des Behälters/der Verpackung, die Kontrolle der Keimbelastung, das Umgebungsüberwachungsprogramm und relevante Aspekte in Bezug auf Personal, Räumlichkeiten, Ausrüstung und Versorgungseinrichtungen umfassen.</w:t>
      </w:r>
    </w:p>
    <w:p>
      <w:pPr>
        <w:pStyle w:val="ListBullet"/>
      </w:pPr>
      <w:r>
        <w:t>II.5. | Das Risikomanagement ist ein wesentlicher Aspekt der parametrischen Freigabe und ihr Schwerpunkt muss auf der Minderung der Faktoren liegen, die das Risiko erhöhen, dass die Sterilität in den einzelnen Einheiten jeder Charge nicht erreicht oder nicht aufrechterhalten wird. Wird ein neues Produkt oder ein neues Verfahren für die parametrische Freigabe in Betracht gezogen, so ist während der Prozessentwicklung eine Risikobewertung durchzuführen, gegebenenfalls einschließlich einer Bewertung der Produktionsdaten vorhandener Produkte. Wird ein vorhandenes Produkt oder Verfahren in Betracht gezogen, so muss die Risikobewertung eine Bewertung der in der Vergangenheit generierten Daten umfassen.</w:t>
      </w:r>
    </w:p>
    <w:p>
      <w:pPr>
        <w:pStyle w:val="ListBullet"/>
      </w:pPr>
      <w:r>
        <w:t>II.6. | Das am Prozess der parametrischen Freigabe beteiligte Personal muss über Erfahrung in den folgenden Bereichen verfügen: Mikrobiologie, Sterilitätssicherung, Technik, Produktion und Sterilisation. Die Qualifikation, Erfahrung und Schulung des an der parametrischen Freigabe beteiligten Personals ist zu dokumentieren.</w:t>
      </w:r>
    </w:p>
    <w:p>
      <w:pPr>
        <w:pStyle w:val="ListBullet"/>
      </w:pPr>
      <w:r>
        <w:t>II.7. | Jede vorgeschlagene Änderung, die sich auf die Sterilitätssicherung auswirken kann, ist gemäß Artikel 26 Absatz 3 von geeignetem qualifiziertem Personal mit Erfahrung in der Sterilitätssicherung zu bearbeiten.</w:t>
      </w:r>
    </w:p>
    <w:p>
      <w:pPr>
        <w:pStyle w:val="ListBullet"/>
      </w:pPr>
      <w:r>
        <w:t>II.8. | Es ist ein Programm zur Überwachung der mikrobiellen Belastung des Produkts und des Primärverpackungsmaterials vor der Sterilisation zu entwickeln, um die parametrische Freigabe zu unterstützen. Die Überwachung ist für jede Charge durchzuführen, und die Probenahmestellen der befüllten Einheiten vor der Sterilisation müssen auf einem Worst-Case-Szenario beruhen und für die Charge repräsentativ sein. Alle gefundenen Organismen sind zu identifizieren, um zu bestätigen, dass es sich nicht um sporenbildende Organismen handelt, die resistenter gegenüber dem Sterilisationsprozess sein können.</w:t>
      </w:r>
    </w:p>
    <w:p>
      <w:pPr>
        <w:pStyle w:val="ListBullet"/>
      </w:pPr>
      <w:r>
        <w:t>II.9. | Eine geeignete Messung kritischer Prozessparameter während der Sterilisation ist eine kritische Anforderung in einem Programm zur parametrischen Freigabe. Die für Prozessmessgeräte verwendeten Normen sind anzugeben, und die Kalibrierung muss auf nationale oder internationale Normen zurückzuführen sein.</w:t>
      </w:r>
    </w:p>
    <w:p>
      <w:pPr>
        <w:pStyle w:val="ListBullet"/>
      </w:pPr>
      <w:r>
        <w:t>II.10. | Es sind kritische Prozessparameter festzulegen, zu definieren und regelmäßig neu zu bewerten. Die Betriebsbereiche sind auf der Grundlage des Sterilisationsprozesses, der Prozessfähigkeit, der Kalibriertoleranzgrenzwerte und der Parameterkritikalität zu entwickeln.</w:t>
      </w:r>
    </w:p>
    <w:p>
      <w:pPr>
        <w:pStyle w:val="ListBullet"/>
      </w:pPr>
      <w:r>
        <w:t>II.11. | Bei der routinemäßigen Überwachung des Sterilisators ist nachzuweisen, dass in jedem Zyklus die validierten Bedingungen erfüllt werden, die für den spezifizierten Prozess erforderlich sind. Während der Sterilisierungsphase sind kritische Prozesse besonders zu überwachen.</w:t>
      </w:r>
    </w:p>
    <w:p>
      <w:pPr>
        <w:pStyle w:val="ListBullet"/>
      </w:pPr>
      <w:r>
        <w:t>II.12. | Es ist ein Sterilisationsprotokoll zu führen, das alle kritischen Prozessparameter enthält. Die Sterilisationsprotokolle sind durch mindestens zwei unabhängige Systeme auf Übereinstimmung mit den Spezifikationen zu überprüfen. Diese Systeme können aus zwei Personen oder einem validierten Computersystem plus einer Person bestehen.</w:t>
      </w:r>
    </w:p>
    <w:p>
      <w:pPr>
        <w:pStyle w:val="ListBullet"/>
      </w:pPr>
      <w:r>
        <w:t>II.13. | Sobald die parametrische Freigabe als Teil der Zulassung genehmigt wurde, ist basierend auf den genehmigten Spezifikationen und der Überprüfung von Daten aus kritischen Prozesskontrollen über die Freigabe oder Ablehnung einer Charge zu entscheiden. Bevor die Produkte für den Markt freigegeben werden, sind Routineprüfungen des Sterilisators, Änderungen, Abweichungen, ungeplante und routinemäßig geplante Wartungsarbeiten zu protokollieren, zu bewerten und zu genehmigen. Die Nichteinhaltung der Spezifikation für die parametrische Freigabe kann nicht durch eine Sterilitätsprüfung geheilt werden.</w:t>
      </w:r>
    </w:p>
    <w:p>
      <w:r>
        <w:t>ELI: http://data.europa.eu/eli/reg_impl/2025/2091/oj</w:t>
      </w:r>
    </w:p>
    <w:p>
      <w:r>
        <w:t>ISSN 1977-0642 (electronic edition)</w:t>
      </w:r>
    </w:p>
    <w:p>
      <w:pPr>
        <w:pStyle w:val="Heading2"/>
      </w:pPr>
      <w:r>
        <w:t>Fußnoten</w:t>
      </w:r>
    </w:p>
    <w:p>
      <w:r>
        <w:t>Fußnote (1) ABl. L 4 vom 7.1.2019, S. 43, ELI: http://data.europa.eu/eli/reg/2019/6/oj.</w:t>
      </w:r>
    </w:p>
    <w:p>
      <w:r>
        <w:t>Fußnote (2) Richtlinie 2001/82/EG des Europäischen Parlaments und des Rates vom 6. November 2001 zur Schaffung eines Gemeinschaftskodexes für Tierarzneimittel (ABl. L 311 vom 28.11.2001, S. 1, ELI: http://data.europa.eu/eli/dir/2001/82/oj).</w:t>
      </w:r>
    </w:p>
    <w:p>
      <w:r>
        <w:t>Fußnote (3) Verordnung (EU) Nr. 910/2014 des Europäischen Parlaments und des Rates vom 23. Juli 2014 über elektronische Identifizierung und Vertrauensdienste für elektronische Transaktionen im Binnenmarkt und zur Aufhebung der Richtlinie 1999/93/EG (ABl. L 257 vom 28.8.2014, S. 73, ELI: http://data.europa.eu/eli/reg/2014/910/oj).</w:t>
      </w:r>
    </w:p>
    <w:p>
      <w:r>
        <w:t>Fußnote (1) Für die Zwecke dieses Anhangs bezeichnet der Ausdruck „Barrieresystem mit beschränktem Zugang“ ein System, das eine geschlossene, aber nicht vollständig abgedichtete Umgebung bereitstellt, die die festgelegten Bedingungen der Luftqualität erfüllt und bei der eine Umschließung mit einer starren Wand sowie integrierte Handschuhe verwendet werden, um den Innenraum von der umgebenden Reinraumumgebung abzuschließen. Die Innenflächen der RABS werden mit einem sporiziden Mittel desinfiziert und dekontaminiert. Das Bedienungspersonal verwendet Handschuhe, Halbanzüge, Schnelltransfersysteme/-anschlüsse und andere integrierte Transferanschlüsse, um Arbeiten durchzuführen oder Materialien in das Innere der RABS zu befördern. Je nach Auslegung werden Türen nur selten und nur unter vorher genau festgelegten Bedingungen geöffnet.</w:t>
      </w:r>
    </w:p>
    <w:p>
      <w:r>
        <w:t>Fußnote (2) Für die Zwecke dieses Anhangs bezeichnet der Ausdruck „kritische Zone“ einen Raum innerhalb des aseptischen Verarbeitungsbereichs, in dem das Produkt und kritische Oberflächen der Umgebung ausgesetzt sind.</w:t>
      </w:r>
    </w:p>
    <w:p>
      <w:r>
        <w:t>Fußnote (3) Für die Zwecke dieses Anhangs bezeichnet der Ausdruck „Erstluft“ (first air) gefilterte Luft, die vor dem Kontakt mit dem exponierten Produkt und den Produktkontaktflächen nicht unterbrochen wurde.</w:t>
      </w:r>
    </w:p>
    <w:p>
      <w:r>
        <w:t>Fußnote (4) Für die Zwecke dieses Anhangs bezeichnet der Ausdruck „unidirektionaler Luftstrom“ einen Luftstrom, der sich in einer einzigen Richtung auf stabile und gleichmäßige Weise und mit ausreichender Geschwindigkeit bewegt, um Partikel reproduzierbar aus dem kritischen Verarbeitungs- oder Prüfbereich zu entfernen.</w:t>
      </w:r>
    </w:p>
    <w:p>
      <w:r>
        <w:t>Fußnote (5) Für die Zwecke dieses Anhangs bezeichnet der Ausdruck „Personalschleuse“ einen Bereich mit zunehmender Reinheit, der für den Zugang von Personal genutzt wird (z. B. vom Bereich der Klasse D zum Bereich der Klasse C oder vom Bereich der Klasse C zum Bereich der Klasse B).</w:t>
      </w:r>
    </w:p>
    <w:p>
      <w:r>
        <w:t>Fußnote (6) Für die Zwecke dieses Anhangs bezeichnet der Ausdruck „Materialschleuse“ einen Bereich, der für den Transfer von Materialien und Ausrüstung genutzt wird.</w:t>
      </w:r>
    </w:p>
    <w:p>
      <w:r>
        <w:t>Fußnote (7) Für die Zwecke dieses Anhangs bezeichnet der Ausdruck „turbulenter Luftstrom“ einen nicht in einer Richtung verlaufenden Luftstrom. Turbulente Luftströme in Reinräumen müssen durch eine Mischstromverteilung den Reinraum durchspülen und eine annehmbare Luftqualität aufrechterhalten.</w:t>
      </w:r>
    </w:p>
    <w:p>
      <w:r>
        <w:t>Fußnote (8) Für die Zwecke dieses Anhangs bezeichnet der Ausdruck „Einheit mit unidirektionalem Luftstrom“ einen Schrank, der mit einem gefilterten unidirektionalen Luftstrom versorgt wird. Der Ausdruck ist gleichbedeutend mit „Einheit mit laminarem Luftstrom“.</w:t>
      </w:r>
    </w:p>
    <w:p>
      <w:r>
        <w:t>Fußnote (9) Es wird darauf hingewiesen, dass die Qualifizierung von Reinräumen ein anderer Prozess als die Umgebungsüberwachung ist.</w:t>
      </w:r>
    </w:p>
    <w:p>
      <w:r>
        <w:t>Fußnote (10) Eine Klassifizierung, die Partikel von 5 μm umfasst, kann gegebenenfalls im Einklang mit der Strategie zur Kontaminationskontrolle oder historischen Trends in Betracht gezogen werden.</w:t>
      </w:r>
    </w:p>
    <w:p>
      <w:r>
        <w:t>Fußnote (11) Für Klasse D sind keine Betriebsgrenzwerte vordefiniert. Der Hersteller muss auf der Grundlage einer Risikobewertung und gegebenenfalls routinemäßig erhobener Daten einschlägige Betriebsgrenzwerte festlegen.</w:t>
      </w:r>
    </w:p>
    <w:p>
      <w:r>
        <w:t>Fußnote (12) Für die Zwecke dieses Anhangs bezeichnet der Ausdruck „koloniebildende Einheit“ oder „KBE“ eine einzelne nachweisbare Kolonie, die von einem oder mehreren Mikroorganismen stammt. Koloniebildende Einheiten werden in der Regel als KBE pro ml für flüssige Proben, KBE pro m 3 für Luftproben und KBE pro Probe für Proben auf festen Medien wie Sedimentations- oder Abklatschplatten angegeben.</w:t>
      </w:r>
    </w:p>
    <w:p>
      <w:r>
        <w:t>Fußnote (13) Die Sedimentationsplatten müssen während der gesamten Dauer der Arbeitsvorgänge exponiert sein und bei Bedarf nach maximal vier Stunden gewechselt werden. Die Expositionszeit muss auf der Grundlage von Untersuchungen zur Rückgewinnung festgelegt werden und darf nicht zum Austrocknen des verwendeten Mediums führen.</w:t>
      </w:r>
    </w:p>
    <w:p>
      <w:r>
        <w:t>Fußnote (14) Für die Zwecke dieses Anhangs bezeichnet der Ausdruck „isokinetische Probenahmesonde“ eine Probenahmesonde, die so konstruiert ist, dass die Luft so wenig wie möglich gestört wird, sodass dieselben Partikel in die Düse gelangen, die auch ohne die Düse diesen Bereich passiert hätten (d. h. die Probenahmebedingungen, bei denen die mittlere Geschwindigkeit der in den Einlass der Probenahmesonde eintretenden Luft nahezu gleich (± 20 %) der mittleren Geschwindigkeit des Luftstroms an dieser Stelle ist).</w:t>
      </w:r>
    </w:p>
    <w:p>
      <w:r>
        <w:t>Fußnote (15) Für die Zwecke dieses Anhangs bezeichnet der Ausdruck „Wassersystem“ ein System zur Erzeugung, Speicherung und Verteilung von Wasser, das in der Regel einem bestimmten Arzneibuchstandard entspricht (z. B. gereinigtes Wasser und Wasser für Injektionszwecke).</w:t>
      </w:r>
    </w:p>
    <w:p>
      <w:r>
        <w:t>Fußnote (16) Für die Zwecke dieses Anhangs bezeichnet „Totraum“ einen Abschnitt einer nicht zirkulierenden Rohrleitung (in dem Flüssigkeit stehen bleiben kann), der größer ist als das Dreifache des Rohrinnendurchmessers.</w:t>
      </w:r>
    </w:p>
    <w:p>
      <w:r>
        <w:t>Fußnote (17) Für die Zwecke dieses Anhangs bezeichnet der Ausdruck „Sterilfilter“ einen Filter, mit dem bei angemessener Validierung eine definierte mikrobielle Belastung aus einer Flüssigkeit oder einem Gas entfernt werden kann, sodass ein steriler Ausfluss entsteht. In der Regel haben solche Filter eine Porengröße von höchstens 0,22 μm.</w:t>
      </w:r>
    </w:p>
    <w:p>
      <w:r>
        <w:t>Fußnote (18) Für die Zwecke dieses Anhangs bezeichnet der Ausdruck „Endsterilisation“ die Anwendung eines letalen Sterilisationsmittels oder letaler Sterilisationsbedingungen auf ein Produkt in seinem Endbehältnis, um ein festgelegtes Sterilitätssicherheitsniveau von 10 &amp;#x2013;6 oder darunter zu erreichen (d. h. die theoretische Wahrscheinlichkeit, dass ein einziger lebensfähiger Mikroorganismus auf oder in einer sterilisierten Einheit vorhanden ist, beträgt höchstens 1 × 10 &amp;#x2013;6).</w:t>
      </w:r>
    </w:p>
    <w:p>
      <w:r>
        <w:t>Fußnote (19) Für die Zwecke dieses Anhangs bezeichnet der Ausdruck „kritischer Eingriff“ einen Eingriff in der kritischen Zone.</w:t>
      </w:r>
    </w:p>
    <w:p>
      <w:r>
        <w:t>Fußnote (20) Für die Zwecke dieses Anhangs bezeichnet der Ausdruck „intrinsisch sterile Verbindungsvorrichtung“ eine Vorrichtung, die das Kontaminationsrisiko während des Verbindungsvorgangs verringert; sie kann mechanisch oder durch Verschmelzen versiegelt sein.</w:t>
      </w:r>
    </w:p>
    <w:p>
      <w:r>
        <w:t>Fußnote (21) Für die Zwecke dieses Anhangs bezeichnet der Ausdruck „inhärente Eingriffe“ Eingriffe, die fester Bestandteil des aseptischen Prozesses sind und für die Einrichtung, den Routinebetrieb oder die Überwachung erforderlich sind (z. B. aseptische Montage, Auffüllung von Behältnissen, Umgebungsprobenahme) und die in den einschlägigen Standardarbeitsanweisungen/Arbeitsanweisungen vorgesehen sind.</w:t>
      </w:r>
    </w:p>
    <w:p>
      <w:r>
        <w:t>Fußnote (22) Für die Zwecke dieses Anhangs bezeichnet der Ausdruck „kritische Oberfläche“ eine Oberfläche, die direkt mit einem Produkt oder dessen Behältnissen oder Verschlüssen in Berührung kommen oder sich auf andere Weise unmittelbar auf deren Sterilität/Kontaminationsfreiheit auswirken kann.</w:t>
      </w:r>
    </w:p>
    <w:p>
      <w:r>
        <w:t>Fußnote (23) Für die Zwecke dieses Anhangs bezeichnet der Ausdruck „Luftversorgung der Klasse A“ Luft, die durch einen Filter geleitet wurde, der für die Erzeugung einer Luftqualität der Klasse A hinsichtlich der Gesamtpartikelzahl qualifiziert ist, wobei jedoch keine Anforderung an eine kontinuierliche Überwachung der Gesamtpartikelzahl oder die Einhaltung von Überwachungsgrenzwerten der Klasse A für lebensfähige Partikel besteht.</w:t>
      </w:r>
    </w:p>
    <w:p>
      <w:r>
        <w:t>Fußnote (24) Für die Zwecke dieses Anhangs bezeichnet der Ausdruck „terminale Hitzebehandlung nach der aseptischen Verarbeitung“ einen terminalen Prozess mit feuchter Hitze, der nach der aseptischen Verarbeitung durchgeführt wird und nachweislich ein Sterilitätssicherheitsniveau von ≤ 10 -6 gewährleistet, bei dem jedoch die Anforderungen an die Dampfsterilisation (z. B. F 0 ≥ 8 min) nicht erfüllt sind. Dies kann auch zur Abtötung von Viren beitragen, die durch Filtration nicht entfernt werden können.</w:t>
      </w:r>
    </w:p>
    <w:p>
      <w:r>
        <w:t>Fußnote (25) Für die Zwecke dieses Anhangs bezeichnet der Ausdruck „biologische Indikatoren“ eine Population von Mikroorganismen, die auf ein geeignetes Medium (z. B. Lösung, Behältnis oder Verschluss) aufgebracht und in einen Sterilisator, eine Beladung oder einen Raum gegeben werden, um die Wirksamkeit des Sterilisations- oder Desinfektionszyklus eines physikalischen oder chemischen Prozesses zu bestimmen. Der Testmikroorganismus muss anhand seiner Resistenz gegenüber dem jeweiligen Prozess ausgewählt und validiert werden. Der D-Wert, die mikrobiologische Zählung und die Reinheit der eingehenden Charge bestimmen die Qualität des biologischen Indikators.</w:t>
      </w:r>
    </w:p>
    <w:p>
      <w:r>
        <w:t>Fußnote (26) Für die Zwecke dieses Anhangs bezeichnet der Ausdruck „D-Wert“ den Wert eines Sterilisationsparameters (Dauer oder absorbierte Dosis), der erforderlich ist, um die Anzahl der lebensfähigen Organismen auf 10 % der ursprünglichen Anzahl zu reduzieren.</w:t>
      </w:r>
    </w:p>
    <w:p>
      <w:r>
        <w:t>Fußnote (27) Für die Zwecke dieses Anhangs bezeichnet der Ausdruck „Z-Wert“ den Temperaturunterschied, der zu einer Änderung des D-Werts der biologischen Indikatoren um den Faktor 10 führt.</w:t>
      </w:r>
    </w:p>
    <w:p>
      <w:r>
        <w:t>Fußnote (28) Für die Zwecke dieses Anhangs bezeichnet der Ausdruck „Rapid-Transfer-System/-Port“ ein System, das für die Verbringung von Gegenständen in RABS oder Isolatoren verwendet wird und das Risiko für die kritische Zone minimiert. Ein Beispiel wäre ein Rapid-Transfer-Behältnis mit einem Alpha-/Beta-Port.</w:t>
      </w:r>
    </w:p>
    <w:p>
      <w:r>
        <w:t>Fußnote (29) Für die Zwecke dieses Anhangs bezeichnet der Ausdruck „Äquilibrierungszeit“ die Zeit, die zwischen dem Erreichen der Sterilisationstemperatur am Referenz-Messpunkt und dem Erreichen der Sterilisationstemperatur an allen Punkten innerhalb der Beladung liegt.</w:t>
      </w:r>
    </w:p>
    <w:p>
      <w:r>
        <w:t>Fußnote (30) Für die Zwecke dieses Anhangs bezeichnet der Ausdruck „F 0 -Wert“ die Letalität, ausgedrückt als Äquivalenzzeit in Minuten bei der Referenztemperatur, mit der das Verfahren auf das Sterilisiergut einwirkt, unter Bezugnahme auf Mikroorganismen mit dem entsprechenden theoretischen z-Wert.</w:t>
      </w:r>
    </w:p>
    <w:p>
      <w:r>
        <w:t>Fußnote (31) Für die Zwecke dieses Anhangs bezeichnet der Ausdruck „F h -Wert“ die Letalität, ausgedrückt als Äquivalenzzeit in Minuten bei der Referenztemperatur, mit der das Verfahren auf das Sterilisiergut einwirkt, unter Bezugnahme auf Mikroorganismen mit dem entsprechenden theoretischen z-Wert.</w:t>
      </w:r>
    </w:p>
    <w:p>
      <w:r>
        <w:t>Fußnote (32) Für die Zwecke dieses Anhangs bezeichnet der Ausdruck „Prüfung der Bakterienrückhaltung“ einen Test, der durchgeführt wird, um zu bestätigen, dass ein Filter Bakterien aus einem Gas oder einer Flüssigkeit entfernen kann. Der Test wird in der Regel mit einem Standardorganismus wie Brevundimonas diminuta mit einer Mindestkonzentration von 10 7 koloniebildenden Einheiten/cm 2 durchgeführt.</w:t>
      </w:r>
    </w:p>
    <w:p>
      <w:r>
        <w:t>Fußnote (33) Für die Zwecke dieses Anhangs bezeichnet der Ausdruck „Form-Fill-Seal“ ein automatisiertes Befüllverfahren, das in der Regel für endsterilisierte Produkte verwendet wird und bei dem das primäre Behältnis aus einer Endlos-Verpackungsfolienrolle gebildet und gleichzeitig das gebildete Behältnis mit dem Produkt gefüllt und die gefüllten Behältnisse in einem kontinuierlichen Verfahren versiegelt werden. Bei Form-Fill-Seal-Verfahren kann ein einbahniges System (bei dem eine einzelne flache Folienrolle um sich selbst geschlungen wird, um einen Hohlraum zu bilden) oder ein zweibahniges System (bei dem zwei flache Folienrollen zusammengeführt werden, um einen Hohlraum zu bilden) zum Einsatz kommen, häufig mithilfe von Vakuumformen oder Druckgasen. Der so gebildete Hohlraum wird befüllt, versiegelt und in Abschnitte geschnitten. Die Folien bestehen in der Regel aus einem Polymermaterial, einer polymeren beschichteten Folie oder einem anderen geeigneten Material.</w:t>
      </w:r>
    </w:p>
    <w:p>
      <w:r>
        <w:t>Fußnote (34) Für die Zwecke dieses Anhangs bezeichnet der Ausdruck „Blow-Fill-Seal“ eine Technologie, bei der Behältnisse aus einem thermoplastischen Granulat geformt, mit einem Produkt gefüllt und anschließend in einem kontinuierlichen, integrierten und automatischen Verfahren versiegelt werden. Die beiden häufigsten Typen von Blow-Fill-Seal-Maschinen sind Shuttle-Typ- (mit Vorformling-Schnitt) und Rotations-Typ-Maschinen (geschlossener Vorformling).</w:t>
      </w:r>
    </w:p>
    <w:p>
      <w:r>
        <w:t>Fußnote (35) Für die Zwecke dieses Anhangs bezeichnet „Vorformling“ den von der Blow-Fill-Seal-Maschine extrudierten Polymerschlauch, aus dem Behältnisse geformt werden.</w:t>
      </w:r>
    </w:p>
    <w:p>
      <w:r>
        <w:t>Fußnote (36) Für die Zwecke dieses Anhangs bezeichnet „Gefriertrocknung“ ein physikalisch-chemisches Trocknungsverfahren, bei dem Lösungsmittel durch Sublimation sowohl aus wässrigen als auch aus nichtwässrigen Systemen entfernt werden, um in erster Linie Produkt- oder Materialstabilität zu erreichen. Gefriertrocknung ist gleichbedeutend mit Lyophilisierung.</w:t>
      </w:r>
    </w:p>
    <w:p>
      <w:r>
        <w:t>Fußnote (37) Für die Zwecke dieses Anhangs bezeichnet der Begriff „Einwegsysteme“ Systeme, bei denen produktberührende Bestandteile nur einmal verwendet werden, und zwar anstelle von wiederverwendbaren Ausrüstungsteilen wie Übertragungsleitungen aus rostfreiem Stahl oder Bulk-Behältnissen.</w:t>
      </w:r>
    </w:p>
    <w:p>
      <w:r>
        <w:t>Fußnote (38) Für die Zwecke dieses Anhangs bezeichnet der Ausdruck „auslaugbare Stoffe“ chemische Stoffe, die unter normalen Verwendungs- oder Lagerungsbedingungen von der produktberührenden Oberfläche der Prozessausrüstung oder der Behältnisse in das zu verarbeitende Produkt oder Material übergehen.</w:t>
      </w:r>
    </w:p>
    <w:p>
      <w:r>
        <w:t>Fußnote (39) Für die Zwecke dieses Anhangs bezeichnet der Ausdruck „extrahierbare Stoffe“ chemische Stoffe, die, wenn sie unter extremen Bedingungen einem geeigneten Lösungsmittel ausgesetzt sind, von der Oberfläche der Prozessausrüstung in das zu verarbeitende Produkt oder Material übergehen.</w:t>
      </w:r>
    </w:p>
    <w:p>
      <w:r>
        <w:t>Fußnote (40) Für Klasse D sind keine Betriebsgrenzwerte vordefiniert. Der Hersteller muss auf der Grundlage einer Risikobewertung und gegebenenfalls routinemäßig erhobener Daten Betriebsgrenzwerte festlegen.</w:t>
      </w:r>
    </w:p>
    <w:p>
      <w:r>
        <w:t>Fußnote (41)</w:t>
      </w:r>
    </w:p>
    <w:p>
      <w:r>
        <w:t>Fußnote Sedimentationsplatten müssen in den Bereichen der Klassen A und B für die Dauer der Arbeitsvorgänge (einschließlich des Einrichtens der Geräte) exponiert und bei Bedarf nach spätestens vier Stunden ausgewechselt werden (die Expositionszeit muss auf der Grundlage einer Validierung einschließlich Studien zur Rückgewinnung festgelegt werden und darf sich nicht negativ auf die Eignung der verwendeten Medien auswirken).</w:t>
      </w:r>
    </w:p>
    <w:p>
      <w:r>
        <w:t>Fußnote Bei den Bereichen der Klassen C und D müssen sich die Expositionszeit (maximal vier Stunden) und die Häufigkeit nach den Grundsätzen des Qualitätsrisikomanagements richten.</w:t>
      </w:r>
    </w:p>
    <w:p>
      <w:r>
        <w:t>Fußnote Einzelne Sedimentationsplatten dürfen weniger als vier Stunden exponiert werden.</w:t>
      </w:r>
    </w:p>
    <w:p>
      <w:r>
        <w:t>Fußnote (42) Die Grenzwerte für Abklatschplatten gelten für Ausrüstungs-, Raum- und Kleidungsoberflächen innerhalb der Bereiche der Klassen A und B. Die routinemäßige Überwachung von Kleidungsstücken ist in der Regel für Bereiche der Klassen C und D nicht erforderlich, je nach deren Funktion.</w:t>
      </w:r>
    </w:p>
    <w:p>
      <w:r>
        <w:t>Fußnote (43) Bei Klasse A muss jegliches Wachstum Anlass für eine Untersuchung sein.</w:t>
      </w:r>
    </w:p>
    <w:p>
      <w:r>
        <w:t>Fußnote (44) Für die Zwecke dieses Anhangs bezeichnet der Ausdruck „Simulation des aseptischen Prozesses“ die Simulation des gesamten aseptischen Herstellungsprozesses, um zu überprüfen, ob der Prozess geeignet ist, die Sterilität zu gewährleisten/eine Kontamination während der Produktion zu verhindern. Sie umfasst alle Vorgänge im Zusammenhang mit der routinemäßigen Herstellung, wie z. B. die Montage der Ausrüstung, die Formulierung, die Befüllung, die Gefriertrocknung und den Versiegelungsprozess, wie jeweils erforderlich.</w:t>
      </w:r>
    </w:p>
    <w:p>
      <w:r>
        <w:t>Fußnote (45) Für die Zwecke dieses Anhangs bezeichnet der Ausdruck „lokale Isolate“ angemessen repräsentative Mikroorganismen des Standorts, die häufig durch Umgebungsüberwachung innerhalb der eingestuften Zone/Bereiche (insbesondere Bereiche der Klassen A und B) durch Personalüberwachung oder durch positive Ergebnisse von Sterilitätstests gewonnen werden.</w:t>
      </w:r>
    </w:p>
    <w:p>
      <w:r>
        <w:t>Fußnote (46) Für die Zwecke dieses Anhangs bezeichnet der Ausdruck „Overkill-Sterilisation“ ein Verfahren, das ausreicht, um eine Verringerung der Mikroorganismen um mindestens 12 log 10 bei einem Mindest-D-Wert von 1 Minute zu erreichen.</w:t>
      </w:r>
    </w:p>
    <w:p>
      <w:r>
        <w:t>Fußnote (1) GMP-Grundsätze sind zu befolgen.</w:t>
      </w:r>
    </w:p>
    <w:p>
      <w:r>
        <w:t>Fußnote (2) Siehe Abschnitt IV zur Anwendbarkeit der GMP-Grundsätze.</w:t>
      </w:r>
    </w:p>
    <w:p>
      <w:r>
        <w:t>Fußnote (3) Siehe Abschnitt VI zur Anwendbarkeit der GMP.</w:t>
      </w:r>
    </w:p>
    <w:p>
      <w:r>
        <w:t>Fußnote (4) Siehe Abschnitt VI zur Anwendbarkeit der GMP. Die Verwaltung der Arbeitszellbank sollte in einer GMP-Umgebung erfolgen.</w:t>
      </w:r>
    </w:p>
    <w:p>
      <w:r>
        <w:t>Fußnote (5) Es gelten die Standards der guten Anbau- und Sammelpraxis (Good Agricultural and Collection Practice, GACP) für Arzneipflanzen.</w:t>
      </w:r>
    </w:p>
    <w:p>
      <w:r>
        <w:t>Fußnote (6) BCG-Impfstoff (Bacillus Calmette-Guérin).</w:t>
      </w:r>
    </w:p>
    <w:p>
      <w:r>
        <w:t>Fußnote (7) Personal, das einen Containment-Bereich betritt, in dem in den vorangegangenen zwölf Stunden keine Organismen im offenen Kreislauf gehandhabt wurden, gilt nicht als kontaminationsgefährdet, es sei denn, es handelt sich bei dem betreffenden Organismus um einen biologischen Arbeitsstoff, der eine Krankheit hervorruft, die in dem betreffenden Land oder geografischen Gebiet nicht vorkommt oder für die in dem betreffenden Land oder geografischen Gebiet prophylaktische Maßnahmen oder ein Tilgungsprogramm durchgeführt werden.</w:t>
      </w:r>
    </w:p>
    <w:p>
      <w:r>
        <w:t>Fußnote (8) Für die Zwecke dieses Anhangs bezeichnet der Ausdruck „exotischer Organismus“ einen biologischen Arbeitsstoff, der eine Krankheit hervorruft, die in dem betreffenden Land oder geografischen Gebiet nicht vorkommt oder für die in dem betreffenden Land oder geografischen Gebiet prophylaktische Maßnahmen oder ein Tilgungsprogramm durchgeführt werden.</w:t>
      </w:r>
    </w:p>
    <w:p>
      <w:r>
        <w:t>Fußnote (9) Für die Zwecke dieses Anhangs bezeichnet der Ausdruck „Clean in Place“ ein in der Regel automatisiertes Verfahren zur Reinigung von Ausrüstung, Rohren, Behältern und zugehörigen Verbindungselementen von innen, ohne dass die Anlage zerlegt werden muss.</w:t>
      </w:r>
    </w:p>
    <w:p>
      <w:r>
        <w:t>Fußnote (10) Für die Zwecke dieses Anhangs bezeichnet der Ausdruck „Steam in Place“ ein in der Regel automatisiertes Verfahren zur Sterilisation von Ausrüstung, Rohren, Behältern und zugehörigen Verbindungselementen von innen unter Verwendung von Dampf, ohne dass die Anlage zerlegt werden muss.</w:t>
      </w:r>
    </w:p>
    <w:p>
      <w:r>
        <w:t>Fußnote (11) https://www.woah.org/en/home.</w:t>
      </w:r>
    </w:p>
    <w:p>
      <w:r>
        <w:t>Fußnote (12) Für die Zwecke dieses Anhangs bezeichnet der Ausdruck „spezifiziert pathogenfrei“ Tiere, die frei von spezifizierten Pathogenen sind. Diese Herden oder Bestände leben in einer gemeinsamen Umgebung und verfügen über eigene Pfleger, die keinen Kontakt zu Nicht-SPF-Gruppen haben.</w:t>
      </w:r>
    </w:p>
    <w:p>
      <w:r>
        <w:t>Fußnote (13) Für die Zwecke dieses Anhangs bezeichnet der Ausdruck „Mastersaatgut“ eine Kultur eines Mikroorganismus, die aus einem einzigen Bulkmaterial zur Erzielung einer einheitlichen Qualität, zur Sicherung der Haltbarkeit und zur Verhinderung einer Kontamination in einem einzigen Arbeitsschritt in Einzelbehälter gegeben und zusammen verarbeitet wird.</w:t>
      </w:r>
    </w:p>
    <w:p>
      <w:r>
        <w:t>Fußnote Im Sinne dieses Anhangs bezeichnet der Ausdruck „Arbeitssaatgut“ eine Kultur eines Mikroorganismus, die aus dem Mastersaatgut hervorgegangen und zur Verwendung in der Produktion bestimmt ist.</w:t>
      </w:r>
    </w:p>
    <w:p>
      <w:r>
        <w:t>Fußnote (14) Für die Zwecke dieses Anhangs bezeichnet der Ausdruck „Masterzellbank“ eine Kultur von Zellen, die in einem einzigen Arbeitsgang auf Behälter verteilt, zusammen verarbeitet und so aufbewahrt werden, dass ihre einheitliche Qualität und Haltbarkeit gewährleistet ist und eine Kontamination verhindert wird.</w:t>
      </w:r>
    </w:p>
    <w:p>
      <w:r>
        <w:t>Fußnote Für die Zwecke dieses Anhangs bezeichnet der Ausdruck „Arbeitszellbank“ eine Kultur von Zellen, die aus der Masterzellbank hervorgegangen und zur Verwendung bei der Herstellung von Produktionszellkulturen bestimmt sind. Der Begriff „genetisch veränderte/genomeditierte Arbeitsbank“ wird mit derselben Bedeutung verwendet, jedoch für Pflanzen oder Tiere, die genetisch verändert wurden oder deren Genom editiert wurde.</w:t>
      </w:r>
    </w:p>
    <w:p>
      <w:r>
        <w:t>Fußnote (15) Für die Zwecke dieses Anhangs bezeichnet der Ausdruck „Reinraum-/Containment-Bereich“ einen Bereich, der so konstruiert ist und betrieben wird, dass gleichzeitig die Ziele eines Reinraumbereichs und eines Containment-Bereichs verwirklicht werden.</w:t>
      </w:r>
    </w:p>
    <w:p>
      <w:r>
        <w:t>Fußnote (16) Allergene, die chemisch modifiziert werden, um die IgE-Reaktivität zu verringern.</w:t>
      </w:r>
    </w:p>
    <w:p>
      <w:r>
        <w:t>Fußnote (17) Ein Molekül mit geringem Molekulargewicht, das an sich nicht antigen ist, es sei denn, es wird mit einem Trägermolekül konjugiert.</w:t>
      </w:r>
    </w:p>
    <w:p>
      <w:r>
        <w:t>Fußnote (18) EMEA/HMPC/246816/2005.</w:t>
      </w:r>
    </w:p>
    <w:p>
      <w:r>
        <w:t>Fußnote (1) Die Hersteller führen diese Schritte in Übereinstimmung mit der Zulassung durch. Für erste Schritte, die entsprechend der Begründung in der Zulassung auf dem Feld vorgenommen werden, gelten die Standards der guten Anbau- und der Sammelpraxis für Ausgangsstoffe pflanzlichen Ursprungs (Good Agricultural and Collection practice for starting materials of herbal origin, GACP). Die gute Herstellungspraxis gilt für die weiteren Zerschneide- und Trocknungsschritte.</w:t>
      </w:r>
    </w:p>
    <w:p>
      <w:r>
        <w:t>Fußnote (2) Es ist akzeptabel, dass das Auspressen der Pflanzen und die Destillation auf dem Feld erfolgen, wenn diese Tätigkeiten fester Bestandteil der Ernte sein müssen, um die Qualität des Produkts im Rahmen der genehmigten Spezifikationen aufrechtzuerhalten, sofern der Anbau im Einklang mit den GACP erfolgt. Dieser Ansatz kann nur in Ausnahmefällen und unter der Voraussetzung akzeptiert werden, dass er von der betreffenden Zulassung erfasst ist. Für die auf dem Feld ausgeführten Tätigkeiten ist eine angemessene Dokumentation, Kontrolle und Validierung nach den Grundsätzen der guten Herstellungspraxis zu gewährleisten.</w:t>
      </w:r>
    </w:p>
    <w:p>
      <w:r>
        <w:t>Fußnote (3) Im Sinne dieses Abschnitts bezeichnet „Gasflasche“ einen üblicherweise zylindrischen Behälter, der für die Aufbewahrung von komprimiertem, verflüssigtem oder gelöstem Gas geeignet ist und mit einer Vorrichtung zur Regelung des spontanen Gasaustritts bei atmosphärischem Druck und Raumtemperatur ausgestattet ist.</w:t>
      </w:r>
    </w:p>
    <w:p>
      <w:r>
        <w:t>Fußnote (4) Im Sinne dieses Abschnitts bezeichnet „mobiler Flüssiggasbehälter“ einen beweglichen, thermisch isolierten Behälter, der dafür ausgelegt ist, den Inhalt in flüssigem Zustand zu halten. Dieser Begriff umfasst keine Tankfahrzeuge.</w:t>
      </w:r>
    </w:p>
    <w:p>
      <w:r>
        <w:t>Fußnote (5) Im Sinne dieses Abschnitts bezeichnet „Heim-Flüssiggasbehälter“ einen mobilen Flüssiggasbehälter zur Aufbewahrung von flüssigem Sauerstoff, der zu Hause beim Patienten gasförmigen Sauerstoff abgibt.</w:t>
      </w:r>
    </w:p>
    <w:p>
      <w:r>
        <w:t>Fußnote (6) Im Sinne dieses Abschnitts bezeichnet „Behälter“ einen Flüssiggasbehälter (Tank, Tankfahrzeug oder einen anderen Typ eines mobilen Flüssiggasbehälters), eine Gasflasche, ein Gasflaschenbündel oder ein anderes Gebinde, das in direktem Kontakt mit dem Gas steht.</w:t>
      </w:r>
    </w:p>
    <w:p>
      <w:r>
        <w:t>Fußnote (7) Im Sinne dieses Abschnitts bezeichnet „Abfüllstation“ eine Ausrüstung oder Apparatur, die so konstruiert ist, dass ein oder mehrere Gasbehälter gleichzeitig entleert und wieder gefüllt werden können.</w:t>
      </w:r>
    </w:p>
    <w:p>
      <w:r>
        <w:t>Fußnote (8) Im Sinne dieses Abschnitts bezeichnet „Tank“ einen stationären, temperaturisolierten Behälter, der für die Lagerung eines verflüssigten oder kryogenen Gases ausgelegt ist. Ein Tank kann auch als „ortsfester Flüssiggasbehälter“ bezeichnet werden.</w:t>
      </w:r>
    </w:p>
    <w:p>
      <w:r>
        <w:t>Fußnote (9) Im Sinne dieses Abschnitts bezeichnet „Tankfahrzeug“ einen temperaturisolierten Behälter für den Transport eines verflüssigten oder kryogenen Gases, der auf einem Fahrzeug befestigt ist.</w:t>
      </w:r>
    </w:p>
    <w:p>
      <w:r>
        <w:t>Fußnote (10) Im Sinne dieses Abschnitts bezeichnet „Spülen“ das Entfernen von Restgas aus einem Behälter/System durch Druckbeaufschlagen mit dem für die Spülung verwendeten Gas und anschließendes Leerströmen, bis 1,013 bar erreicht sind.</w:t>
      </w:r>
    </w:p>
    <w:p>
      <w:r>
        <w:t>Fußnote (11) Im Sinne dieses Abschnitts bezeichnet „verflüssigtes Gas“ ein Gas, das im Transportbehältnis bei einer Temperatur von über -50 °C teilflüssig (oder fest) ist.</w:t>
      </w:r>
    </w:p>
    <w:p>
      <w:r>
        <w:t>Fußnote (12) Im Sinne dieses Abschnitts bezeichnet „Rückschlagventil“ ein Ventil, das ein Strömen in nur eine Richtung erlaubt.</w:t>
      </w:r>
    </w:p>
    <w:p>
      <w:r>
        <w:t>Fußnote (13) Im Sinne dieses Abschnitts bezeichnet „Minimalrestdruckventil“ ein Gasflaschenventil, das nach Gebrauch in einer Gasflasche einen positiven Druck oberhalb des atmosphärischen Drucks aufrechterhält, um eine Kontamination im Inneren der Gasflasche zu verhindern.</w:t>
      </w:r>
    </w:p>
    <w:p>
      <w:r>
        <w:t>Fußnote (14) Im Sinne dieses Abschnitts bezeichnet „Evakuieren“ die Entfernung von Restgas aus einem Behälter / System unter Verwendung einer Vakuumvorrichtung, bis ein Druck von weniger als 1,013 bar erreicht ist.</w:t>
      </w:r>
    </w:p>
    <w:p>
      <w:r>
        <w:t>Fußnote (15) Bei komprimierten Gasen sollte bei einem Fülldruck von 200 bar und bei 15 °C eine maximale theoretische Verunreinigung von 500 ppm Vol.-% erreicht werden (bzw. ein entsprechender Wert bei anderen Fülldrücken).</w:t>
      </w:r>
    </w:p>
    <w:p>
      <w:r>
        <w:t>Fußnote (16) Leitfaden CPMP/QWP/1719/00.</w:t>
      </w:r>
    </w:p>
    <w:p>
      <w:r>
        <w:t>Fußnote (1) Für die Zwecke dieses Anhangs bezeichnet der Ausdruck „IT-Infrastruktur“ die Hardware und Software, die für den Betrieb des Systems erforderlich ist (z. B. Netzwerksoftware und Betriebssysteme).</w:t>
      </w:r>
    </w:p>
    <w:p>
      <w:r>
        <w:t>Fußnote (1) Angemessene Prozesskenntnisse sind besonders in Fällen, in denen das Konzept des „Design Space“ zum Tragen kommt, sowie für die Entwicklung mathematischer Modelle von Bedeutung.</w:t>
      </w:r>
    </w:p>
    <w:p>
      <w:r>
        <w:t>Fußnote (2) Für die Zwecke dieses Anhangs bezeichnet der Ausdruck „Reinigungsverifizierung“ das Sammeln von Beweisen mittels chemischer Analyse nach jeder Charge/Kampagne als Nachweis dafür, dass Rückstände des vorherigen Produkts oder Reinigungsmitteln unter den wissenschaftlich festgelegten Höchstwert gesenkt wurden.</w:t>
      </w:r>
    </w:p>
    <w:p>
      <w:r>
        <w:t>Fußnote (3) Siehe EMA Guideline on setting health based exposure limits for use in risk identification in the manufacture of different medicinal products in shared facilities.</w:t>
      </w:r>
    </w:p>
    <w:p>
      <w:r>
        <w:t>Fußnote (1) https://www.ema.europa.eu/en/human-regulatory-overview/research-development/data-medicines-iso-idmp-standards-overview/substance-product-organisation-referential-spor-master-data/organisation-management-service-oms.</w:t>
      </w:r>
    </w:p>
    <w:p>
      <w:r>
        <w:t>Fußnote (2) Querverweise auf die Angaben in Anlage 1 oder 2 sind zulässig.</w:t>
      </w:r>
    </w:p>
    <w:p>
      <w:r>
        <w:t>Fußnote (1) Für die Zwecke dieses Anhangs bezeichnet der Ausdruck „kontinuierliche Behandlung“ einen Bestrahlungsprozess, bei dem die Produkte durch ein automatisches System in die Bestrahlungskammer befördert werden, die exponierte Strahlungsquelle auf einem definierten Weg und mit einer geeigneten Geschwindigkeit passieren und anschließend aus der Kammer herausbefördert werden.</w:t>
      </w:r>
    </w:p>
    <w:p>
      <w:r>
        <w:t>Fußnote (2) Für die Zwecke dieses Anhangs bezeichnet der Ausdruck „Chargenbetrieb“ einen Bestrahlungsprozess, bei dem das Produkt an festgelegten Stellen um die Strahlungsquelle herum angeordnet ist und während der Exposition der Strahlungsquelle nicht be- oder entladen werden kann.</w:t>
      </w:r>
    </w:p>
    <w:p>
      <w:r>
        <w:t>Fußnote (1) Die Prüfausrüstung ist in die Prozesslinie integriert, wo die Analyse unter den Prozessbedingungen durchgeführt wird. Nach der Messung bewegt sich die Probe kontinuierlich weiter. Dies war die ursprüngliche Methode der Echtzeitanalyse.</w:t>
      </w:r>
    </w:p>
    <w:p>
      <w:r>
        <w:t>Fußnote (2) Die Probe wird auf statistisch repräsentative Weise aus der Prozesslinie extrahiert und in die Messzone eingeführt. Die Messbedingungen ähneln denen der Prozesslinie. Nach der Messung kann die Probe entsorgt oder wieder der Prozesslinie zugeführt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(12 von 12) Anhang IX ECHTZEIT-FREIGABEPRÜFUNG</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