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DVO (EU) 2025-2091 GMP (9 von 12) Anhang III-IV BESONDERE ANFORDERUNGEN, COMPUTERGESTÜTZTE</w:t>
      </w:r>
    </w:p>
    <w:p>
      <w:r>
        <w:t>Quelle: Amtsblatt der EU, CELEX 32025R2091, https://eur-lex.europa.eu/legal-content/DE/TXT/?uri=CELEX:32025R2091</w:t>
      </w:r>
    </w:p>
    <w:p>
      <w:pPr>
        <w:pStyle w:val="Heading1"/>
      </w:pPr>
      <w:r>
        <w:t>ANHANG III BESONDERE ANFORDERUNGEN FÜR BESTIMMTE TIERARZNEIMITTEL</w:t>
      </w:r>
    </w:p>
    <w:p>
      <w:r>
        <w:t>Dieser Anhang enthält zusätzliche Anforderungen und spezifische Anpassungen der in dieser Verordnung festgelegten Anforderungen, die für bestimmte Arten von Tierarzneimitteln gelten.</w:t>
      </w:r>
    </w:p>
    <w:p>
      <w:r>
        <w:t>Sofern nicht anders angegeben, gelten die Vorschriften dieses Anhangs zusätzlich zu den Vorschriften der Verordnung. Im Konfliktfall haben die besonderen Anforderungen dieses Anhangs Vorrang.</w:t>
      </w:r>
    </w:p>
    <w:p>
      <w:pPr>
        <w:pStyle w:val="Heading2"/>
      </w:pPr>
      <w:r>
        <w:t>I. PFLANZLICHE TIERARZNEIMITTEL</w:t>
      </w:r>
    </w:p>
    <w:p>
      <w:r>
        <w:rPr>
          <w:b/>
        </w:rPr>
        <w:t>Tabelle (zeilenweise wiedergegeben):</w:t>
      </w:r>
    </w:p>
    <w:p>
      <w:pPr>
        <w:pStyle w:val="ListBullet"/>
      </w:pPr>
      <w:r>
        <w:t>I.1. | Angesichts der Variabilität pflanzlicher Materialien ist die Kontrolle pflanzlicher Materialien (pflanzliche Stoffe und pflanzliche Zubereitungen), die bei der Herstellung von Tierarzneimitteln verwendet werden, besonders wichtig.</w:t>
      </w:r>
    </w:p>
    <w:p>
      <w:pPr>
        <w:pStyle w:val="ListBullet"/>
      </w:pPr>
      <w:r>
        <w:t>I.2. | Pflanzliches Material, das bei der Herstellung von Tierarzneimitteln verwendet wird, muss von geeigneter Qualität sein. Die Auswahl des Saatguts sowie die Anbau- und Erntebedingungen sind wichtige Aspekte für die Qualität des pflanzlichen Stoffes und können die Einheitlichkeit des Fertigprodukts beeinflussen.</w:t>
      </w:r>
    </w:p>
    <w:p>
      <w:pPr>
        <w:pStyle w:val="ListBullet"/>
      </w:pPr>
      <w:r>
        <w:t>I.3. | Tabelle 1 veranschaulicht die Anwendung bewährter Verfahren bei der Herstellung von Tierarzneimitteln. Tabelle 1 Tätigkeit Gute Anbau- und Sammelpraxis GMP für Wirkstoffe, die bei der Herstellung von Tierarzneimitteln verwendet werden, bzw. GMP für Tierarzneimittel GMP für Tierarzneimittel Anbau, Sammeln und Ernte von Pflanzen, Algen, Pilzen und Flechten sowie Gewinnung von Ausscheidungen/Absonderungen Zutreffend Zerschneiden und Trocknen von Pflanzen, Algen, Pilzen, Flechten und Ausscheidungen/Absonderungen Zutreffend Zutreffend Auspressen von Pflanzen und Destillation Zutreffend Zerkleinerung, Verarbeitung von Ausscheidungen/Absonderungen, Extraktion aus Pflanzen, Fraktionierung, Aufreinigung, Konzentrierung oder Fermentation pflanzlicher Stoffe Zutreffend Weiterverarbeitung in eine Darreichungsform, einschließlich Verpackung als fertiges Tierarzneimittel Zutreffend</w:t>
      </w:r>
    </w:p>
    <w:p>
      <w:pPr>
        <w:pStyle w:val="ListBullet"/>
      </w:pPr>
      <w:r>
        <w:t>I.4. | Das bei der Herstellung von Tierarzneimitteln verwendete pflanzliche Material muss folgende Anforderungen erfüllen: a) Die Spezifikationen werden in Übereinstimmung mit der Zulassung festgelegt und umfassen Folgendes: — binomischer wissenschaftlicher Name der Pflanze (Gattung, Art, Unterart/Sorte und Autor (z. B. Linné); soweit angebracht, sind auch andere relevante Informationen wie der Name des Züchters und der Chemotyp anzugeben; — Angaben zur Herkunft der Pflanze (Herkunftsland oder -region und gegebenenfalls Anbau, Zeitpunkt der Ernte, Sammlungsverfahren, eventuell verwendete Pestizide, mögliche radioaktive Kontamination usw.); — welche(r) Pflanzenteil(e) verwendet wird/werden; — bei Verwendung von getrocknetem Pflanzenmaterial, Angabe des Trocknungsverfahrens; — Beschreibung des pflanzlichen Stoffes und seiner makroskopischen und mikroskopischen Untersuchung; — geeignete Identitätsprüfungen, gegebenenfalls solche auf Bestandteile mit bekannter therapeutischer Wirksamkeit oder Leitsubstanzen. Spezifische Unterscheidungstests sind erforderlich, wenn damit zu rechnen ist, dass ein pflanzlicher Stoff verfälscht bzw. ersetzt wird. Zu Identifizierungszwecken muss eine authentische Referenzprobe zur Verfügung stehen; — Wassergehalt pflanzlicher Stoffe, der gemäß dem Europäischen Arzneibuch zu bestimmen ist; — Gehalt der Bestandteile mit bekannter therapeutischer Wirksamkeit oder gegebenenfalls der Leitsubstanzen; — Methoden zur Bestimmung einer möglichen Pestizidkontamination und die zulässigen Grenzwerte in Übereinstimmung mit den Methoden des Europäischen Arzneibuchs oder, sofern nicht vorhanden, mit einem geeigneten validierten Verfahren, sofern nichts anderes bestimmt wird; — Untersuchungen zur Bestimmung einer Pilzkontamination und/oder mikrobiellen Kontamination, einschließlich Aflatoxine, anderer Pilztoxine, Schädlingsbefall, und zulässige Grenzwerte, soweit angebracht; — Prüfungen auf toxische Metalle sowie auf mögliche Kontaminanten und Verfälschungen, soweit angebracht; — Prüfungen auf Fremdstoffe, soweit angebracht; — weitere zusätzliche Prüfungen gemäß der allgemeinen Monografie des Europäischen Arzneibuchs zu pflanzlichen Stoffen oder nach speziellen Monografien pflanzlicher Stoffe, soweit angebracht. Jede Behandlung zur Verminderung der Kontamination mit Pilzen oder Mikroben oder eines anderen Befalls ist anzugeben. Die Spezifikationen müssen, soweit erforderlich, Einzelheiten zu Verfahren, Prüfungen und Grenzwerten für Rückstände enthalten. b) Die Lieferanten pflanzlicher Materialien müssen sich an die gute Anbau- und Sammelpraxis halten. Die Lieferanten werden vom Hersteller des pflanzlichen Tierarzneimittels nach den Grundsätzen des Qualitätsrisikomanagements geprüft. Solche Prüfungen können ausgelagert werden.</w:t>
      </w:r>
    </w:p>
    <w:p>
      <w:pPr>
        <w:pStyle w:val="ListBullet"/>
      </w:pPr>
      <w:r>
        <w:t>I.5. | Hinsichtlich der Lagerbereiche für pflanzliches Material, das bei der Produktion von Tierarzneimitteln verwendet wird, sind folgende Vorsichtsmaßnahmen zu treffen: a) Es sind wirksame Maßnahmen zu treffen, um die Ausbreitung von Insekten, sonstigen Tieren oder Mikroorganismen zu verhindern, die mit dem pflanzlichen Stoff eingeschleppt werden, um Fermentation oder Schimmelwachstum und eine Kreuzkontamination zu verhindern. Für die Quarantäne eintreffender pflanzlicher Stoffe und für die zugelassenen pflanzlichen Stoffe sind getrennte geschlossene Bereiche vorzusehen; b) die Lagerbereiche müssen gut belüftet und die Behälter so angeordnet sein, dass eine ungehinderte Luftzirkulation gewährleistet ist; c) erforderlichenfalls sind besondere Feuchtigkeits-, Temperatur- oder Lichtschutzbedingungen festzulegen und zu überwachen.</w:t>
      </w:r>
    </w:p>
    <w:p>
      <w:pPr>
        <w:pStyle w:val="ListBullet"/>
      </w:pPr>
      <w:r>
        <w:t>I.6. | Die Identität und Qualität pflanzlicher Materialien und pflanzlicher Arzneimittel werden im Einklang mit den einschlägigen aktuellen europäischen Leitlinien zu Qualität und Spezifikationen für pflanzliche Arzneimittel und traditionelle pflanzliche Arzneimittel oder gegebenenfalls im Einklang mit den Anforderungen spezieller einschlägiger Monografien des Europäischen Arzneibuchs festgestellt.</w:t>
      </w:r>
    </w:p>
    <w:p>
      <w:pPr>
        <w:pStyle w:val="ListBullet"/>
      </w:pPr>
      <w:r>
        <w:t>I.7. | In den Verarbeitungsanweisungen sind die verschiedenen, mit dem pflanzlichen Stoff durchzuführenden Vorgänge wie Reinigen, Trocknen, Zerkleinern und Sieben, einschließlich Trocknungsdauer und -temperaturen, sowie die Methoden zur Kontrolle der Schnittgröße oder der Partikelgröße zu beschreiben. Es sind schriftliche Anweisungen zu erstellen und Protokolle zu führen, um sicherzustellen, dass jeder Behälter mit pflanzlichen Stoffen sorgfältig geprüft wird, um eine Fälschung bzw. Ersetzung oder das Vorliegen von Fremdkörpern wie Metall- oder Glasstücken, Tierteilen oder -exkrementen, Steinen, Sand oder Fäulnis sowie Anzeichen einer Zersetzung festzustellen. In den Verarbeitungsanweisungen sind auch Sicherheitssiebverfahren oder andere Methoden zur Entfernung von Fremdkörpern sowie geeignete Verfahren für die Reinigung bzw. das Sortieren des Pflanzenmaterials vor der Lagerung des zugelassenen pflanzlichen Stoffes oder vor Beginn der Herstellung zu beschreiben. Für die Produktion einer pflanzlichen Zubereitung müssen die Anweisungen Angaben zum Lösungsmittel, zur Dauer und Temperatur der Extraktion sowie zu etwaigen Konzentrierungsschritten und -verfahren enthalten.</w:t>
      </w:r>
    </w:p>
    <w:p>
      <w:pPr>
        <w:pStyle w:val="ListBullet"/>
      </w:pPr>
      <w:r>
        <w:t>I.8. | Fällt bei der Verarbeitung (einschließlich Probenahme) Staub an, so ist der Einsatz einer Staubextraktion, speziell geeigneter Räumlichkeiten oder anderer Mittel in Betracht zu ziehen, um Kreuzkontamination zu verhindern und die Reinigung zu erleichtern.</w:t>
      </w:r>
    </w:p>
    <w:p>
      <w:pPr>
        <w:pStyle w:val="ListBullet"/>
      </w:pPr>
      <w:r>
        <w:t>I.9. | Die für den Herstellungsprozess verwendeten Ausrüstungen und Filtermaterialien müssen mit dem Extraktionslösungsmittel kompatibel sein, um eine Freisetzung oder unerwünschte Absorption des Stoffes, die das Produkt beeinträchtigen könnte, zu verhindern.</w:t>
      </w:r>
    </w:p>
    <w:p>
      <w:pPr>
        <w:pStyle w:val="ListBullet"/>
      </w:pPr>
      <w:r>
        <w:t>I.10. | Aufgrund der Heterogenität von Arzneipflanzen bzw. pflanzlichen Stoffen sind in Bezug auf die Probenahme folgende Maßnahmen durchzuführen: a) Jede Charge wird durch eine eigene Dokumentation identifiziert; b) eine Referenzprobe des Pflanzenmaterials ist erforderlich, insbesondere in den Fällen, in denen der pflanzliche Stoff nicht im Europäischen Arzneibuch oder in einem Arzneibuch eines anderen Mitgliedstaats beschrieben ist. Bei Verwendung von Pulvern werden Proben des ungemahlenen Pflanzenmaterials benötigt.</w:t>
      </w:r>
    </w:p>
    <w:p>
      <w:pPr>
        <w:pStyle w:val="ListBullet"/>
      </w:pPr>
      <w:r>
        <w:t>I.11. | Das mit der Qualitätskontrolle beschäftigte Personal muss über besondere Sachkenntnis und Erfahrung in Bezug auf pflanzliche Stoffe, pflanzliche Zubereitungen und/oder pflanzliche Arzneimittel verfügen, um Identitätsprüfungen durchführen und Fälschungen, Pilzwachstum, Schädlingsbefall, mangelnde Gleichförmigkeit innerhalb einer Rohmateriallieferung usw. erkennen zu können.</w:t>
      </w:r>
    </w:p>
    <w:p>
      <w:pPr>
        <w:pStyle w:val="Heading2"/>
      </w:pPr>
      <w:r>
        <w:t>II. ZUR HERSTELLUNG VON FÜTTERUNGSARZNEIMITTELN BESTIMMTE TIERARZNEIMITTEL</w:t>
      </w:r>
    </w:p>
    <w:p>
      <w:r>
        <w:rPr>
          <w:b/>
        </w:rPr>
        <w:t>Tabelle (zeilenweise wiedergegeben):</w:t>
      </w:r>
    </w:p>
    <w:p>
      <w:pPr>
        <w:pStyle w:val="ListBullet"/>
      </w:pPr>
      <w:r>
        <w:t>II.1. | Da die Herstellung von Arzneimittel-Vormischungen die Verwendung großer Mengen pflanzlicher Stoffe erfordert, die unter Umständen Insekten und Nagetiere anlocken, ist es besonders wichtig, dafür zu sorgen, dass die Räumlichkeiten so konzipiert, ausgestattet und betrieben werden, dass das Risiko, dass Schädlinge in die Herstellungsstätte eindringen, so gering wie möglich ist. Es sind verstärkte Schädlingsbekämpfungssysteme einzurichten, um das Eindringen von Schädlingen zu überwachen und zu minimieren und gegebenenfalls Maßnahmen zu ergreifen.</w:t>
      </w:r>
    </w:p>
    <w:p>
      <w:pPr>
        <w:pStyle w:val="ListBullet"/>
      </w:pPr>
      <w:r>
        <w:t>II.2. | Wegen der großen Staubmenge, die bei der Produktion von Bulkmaterial für Vormischungen anfällt, ist besonderes Augenmerk darauf zu richten, Kreuzkontaminationen zu vermeiden und die Reinigung zu erleichtern, z. B. durch die Installation von geschlossenen Transportsystemen und einer Staubabsaugung, soweit dies möglich ist. Die Installation solcher Systeme entbindet jedoch nicht von der Notwendigkeit, die Produktionsflächen regelmäßig zu reinigen.</w:t>
      </w:r>
    </w:p>
    <w:p>
      <w:pPr>
        <w:pStyle w:val="ListBullet"/>
      </w:pPr>
      <w:r>
        <w:t>II.3. | Jene Teile des Verfahrens, die voraussichtlich einen erheblichen nachteiligen Einfluss auf die Stabilität des Wirkstoffs bzw. der Wirkstoffe haben (z. B. Verwendung von Dampf bei der Herstellung von Pellets), müssen bei jeder Charge einheitlich durchgeführt werden.</w:t>
      </w:r>
    </w:p>
    <w:p>
      <w:pPr>
        <w:pStyle w:val="ListBullet"/>
      </w:pPr>
      <w:r>
        <w:t>II.4. | Soweit möglich, muss die Herstellung von Vormischungen in speziell hierfür vorgesehenen Bereichen erfolgen, die nach Möglichkeit nicht zum Hauptherstellungsbetrieb gehören. Alternativ dazu müssen solche gesonderten Bereiche mit einer Pufferzone umgeben sein, um das Risiko der Kontamination anderer Produktionsbereiche zu minimieren.</w:t>
      </w:r>
    </w:p>
    <w:p>
      <w:pPr>
        <w:pStyle w:val="Heading2"/>
      </w:pPr>
      <w:r>
        <w:t>III. TIERARZNEIMITTEL GEGEN EKTOPARASITEN</w:t>
      </w:r>
    </w:p>
    <w:p>
      <w:r>
        <w:t>Tierarzneimittel gegen Ektoparasiten zur äußeren Anwendung können kampagnenweise in pestizidspezifischen Bereichen hergestellt und abgefüllt werden. Andere Kategorien von Tierarzneimitteln dürfen in diesen Bereichen jedoch nicht hergestellt werden.</w:t>
      </w:r>
    </w:p>
    <w:p>
      <w:pPr>
        <w:pStyle w:val="Heading2"/>
      </w:pPr>
      <w:r>
        <w:t>IV. LIQUIDA, CREMES UND SALBEN</w:t>
      </w:r>
    </w:p>
    <w:p>
      <w:r>
        <w:t>Da Liquida, Cremes und Salben während der Herstellung besonders anfällig für mikrobielle und andere Verunreinigungen sein können, sind folgende Maßnahmen in Betracht zu ziehen:</w:t>
      </w:r>
    </w:p>
    <w:p>
      <w:r>
        <w:t>a) Es wird empfohlen, geschlossene Systeme für Verarbeitung und Beförderung zu verwenden. In Fällen, in denen die Produkte oder offene gereinigte Behälter der Umgebungsluft ausgesetzt sind, ist eine wirksame Belüftung mit gefilterter Luft vorzusehen;</w:t>
      </w:r>
    </w:p>
    <w:p>
      <w:r>
        <w:t>b) Tanks, Behälter, Rohrleitungen und Pumpen müssen so ausgelegt und installiert sein, dass sie leicht zu reinigen sind. Die Ausrüstung muss insbesondere möglichst wenige Toträume oder sonstige Stellen aufweisen, in denen sich Rückstände ansammeln und zu einer mikrobiellen Vermehrung führen können;</w:t>
      </w:r>
    </w:p>
    <w:p>
      <w:r>
        <w:t>c) die Verwendung von Glasgerätschaften ist nach Möglichkeit zu vermeiden. Für Teile, die mit dem Produkt in Berührung kommen, ist rostfreier Stahl von hoher Qualität häufig der geeignete Werkstoff;</w:t>
      </w:r>
    </w:p>
    <w:p>
      <w:r>
        <w:t>d) die chemische und mikrobiologische Qualität des bei der Produktion verwendeten Wassers ist festzulegen und zu überwachen. Die Wartung von Wassersystemen ist sorgfältig durchzuführen, um das Risiko einer mikrobiellen Vermehrung zu vermeiden. Nach jeder chemischen Sanitisierung der Wassersysteme sollte eine Spülung nach einem validierten Verfahren vorgenommen werden, um sicherzustellen, dass das Sanitisierungsmittel vollständig entfernt worden ist;</w:t>
      </w:r>
    </w:p>
    <w:p>
      <w:r>
        <w:t>e) Material, das Fasern oder andere Verunreinigungen abgeben könnte, z. B. Kartons oder Holzpaletten, darf nicht in Bereiche gelangen, in denen Produkte oder gereinigte Behältnisse der Umgebungsluft ausgesetzt sind;</w:t>
      </w:r>
    </w:p>
    <w:p>
      <w:r>
        <w:t>f) die Homogenität von Mischungen oder Suspensionen muss bei der Abfüllung gewahrt bleiben. Zu Beginn eines Abfüllvorgangs, nach Produktionsunterbrechungen und am Ende des Vorgangs ist besonders darauf zu achten, dass die Homogenität eingehalten wird;</w:t>
      </w:r>
    </w:p>
    <w:p>
      <w:r>
        <w:t>g) wird das Fertigprodukt nicht sofort verpackt, so sind die maximale Lagerdauer und die Lagerungsbedingungen festzulegen und einzuhalten.</w:t>
      </w:r>
    </w:p>
    <w:p>
      <w:pPr>
        <w:pStyle w:val="Heading2"/>
      </w:pPr>
      <w:r>
        <w:t>V. MEDIZINISCHE GASE</w:t>
      </w:r>
    </w:p>
    <w:p>
      <w:pPr>
        <w:pStyle w:val="Heading2"/>
      </w:pPr>
      <w:r>
        <w:t>V.1. Geltungsbereich</w:t>
      </w:r>
    </w:p>
    <w:p>
      <w:r>
        <w:t>Dieser Abschnitt enthält zusätzliche Anforderungen, die für die Herstellung von Tierarzneimitteln gelten, die medizinische Gase enthalten. Im Sinne dieses Abschnitts bezeichnet der Begriff „Gas“ jede Substanz, die bei 1,013 bar und + 20 °C vollständig gasförmig ist oder bei + 50 °C einen Dampfdruck von mehr als 3 bar aufweist.</w:t>
      </w:r>
    </w:p>
    <w:p>
      <w:r>
        <w:t>Im Ausnahmefall der kontinuierlichen Herstellung, in dem zwischen der Herstellung des Wirkstoffs und der Herstellung des Arzneimittels keine Zwischenlagerung des Gases möglich ist, fällt der gesamte Prozess (vom Ausgangsmaterial des Wirkstoffs bis zum medizinischen Fertigprodukt) in den Anwendungsbereich dieser Verordnung.</w:t>
      </w:r>
    </w:p>
    <w:p>
      <w:pPr>
        <w:pStyle w:val="Heading2"/>
      </w:pPr>
      <w:r>
        <w:t>V.2. Personal</w:t>
      </w:r>
    </w:p>
    <w:p>
      <w:r>
        <w:t>Das Personal wird speziell in Bezug auf die Gefahren geschult, die von diesen Produkten ausgehen; die Schulungsprogramme schließen auch die Fahrer von Tankfahrzeugen und das Personal von Auftragnehmern ein, welche die Qualität von medizinischen Gasen beeinflussen können (z. B. Mitarbeiter, die für die Wartung von Gasflaschen oder Ventilen zuständig sind).</w:t>
      </w:r>
    </w:p>
    <w:p>
      <w:pPr>
        <w:pStyle w:val="Heading2"/>
      </w:pPr>
      <w:r>
        <w:t>V.3. Räumlichkeiten</w:t>
      </w:r>
    </w:p>
    <w:p>
      <w:r>
        <w:rPr>
          <w:b/>
        </w:rPr>
        <w:t>Tabelle (zeilenweise wiedergegeben):</w:t>
      </w:r>
    </w:p>
    <w:p>
      <w:pPr>
        <w:pStyle w:val="ListBullet"/>
      </w:pPr>
      <w:r>
        <w:t>V.3.1. | Gasflaschen und mobile Flüssiggasbehälter sind in von nicht medizinischen Gasen getrennten Bereichen zu prüfen, vorzubereiten, abzufüllen und zu lagern, wobei zwischen diesen Bereichen kein Austausch von Gasflaschen oder mobilen Flüssiggasbehältern stattfinden darf. Es ist jedoch zulässig, andere Gase in denselben Bereichen zu prüfen, vorzubereiten, abzufüllen und zu lagern, sofern dies nach guter Herstellungspraxis geschieht.</w:t>
      </w:r>
    </w:p>
    <w:p>
      <w:pPr>
        <w:pStyle w:val="ListBullet"/>
      </w:pPr>
      <w:r>
        <w:t>V.3.2. | Die Räumlichkeiten müssen so ausgelegt sein, dass sie separate, gekennzeichnete Bereiche für verschiedene Gase sowie eine klare Identifizierung und Trennung von Gasflaschen oder mobilen Flüssiggasbehältern je nach Verarbeitungsstufe bieten (z. B. „Zur Kontrolle“, „Zur Befüllung“, „Quarantäne“, „Zertifiziert“, „Zurückgewiesen“„Bereit zur Auslieferung“). Die einzusetzende Methode, um diese verschiedenen Stufen der Abtrennung zu erreichen, hängt von der Art, dem Umfang und der Komplexität des gesamten Prozesses ab. Es können gekennzeichnete Bodenflächen, Trennwände, Barrieren, Schilder, Etiketten oder andere geeignete Mittel verwendet werden.</w:t>
      </w:r>
    </w:p>
    <w:p>
      <w:pPr>
        <w:pStyle w:val="ListBullet"/>
      </w:pPr>
      <w:r>
        <w:t>V.3.3. | Gasflaschen oder Heim-Flüssiggasbehälter (sowohl aussortierte oder gewartete leere als auch befüllte) sind in Innenräumen zu lagern und vor ungünstigen Witterungsbedingungen zu schützen. Befüllte Gasflaschen oder mobile Flüssiggasbehälter sind in sauberem Zustand und entsprechend den Umgebungsbedingungen, in denen sie nach Auslieferung eingesetzt werden sollen, zu lagern.</w:t>
      </w:r>
    </w:p>
    <w:p>
      <w:pPr>
        <w:pStyle w:val="ListBullet"/>
      </w:pPr>
      <w:r>
        <w:t>V.3.4. | In der Zulassung vorgeschriebene besondere Lagerungsbedingungen (z. B. für Gasgemische, bei denen eine Phasentrennung bei Gefrieren erfolgt) sind einzuhalten.</w:t>
      </w:r>
    </w:p>
    <w:p>
      <w:pPr>
        <w:pStyle w:val="Heading2"/>
      </w:pPr>
      <w:r>
        <w:t>V.4. Ausrüstung</w:t>
      </w:r>
    </w:p>
    <w:p>
      <w:r>
        <w:rPr>
          <w:b/>
        </w:rPr>
        <w:t>Tabelle (zeilenweise wiedergegeben):</w:t>
      </w:r>
    </w:p>
    <w:p>
      <w:pPr>
        <w:pStyle w:val="ListBullet"/>
      </w:pPr>
      <w:r>
        <w:t>V.4.1. | Die Ausrüstung muss so konstruiert sein, dass das richtige Gas in den richtigen Behälter gefüllt wird. In der Regel dürfen keine Querverbindungen zwischen Rohrleitungen mit unterschiedlichen Gasen vorhanden sein. Wenn Querverbindungen (z. B. Ausrüstungen zum Befüllen mit Mischungen) erforderlich sind, ist im Zuge des Qualifizierungsverfahrens sicherzustellen, dass kein Risiko einer Kreuzkontamination zwischen den verschiedenen Gasen besteht. Darüber hinaus müssen die Abfüllstationen mit spezifischen Verbindungen ausgestattet sein. Der Gebrauch von Anschlüssen, die unterschiedlichen Standards entsprechen, an ein und derselben Abfüllstätte sowie der Gebrauch von Adaptern, die erforderlich sein können, um spezifische Abfüllanschlusssysteme zu überbrücken, sind sorgfältig zu kontrollieren.</w:t>
      </w:r>
    </w:p>
    <w:p>
      <w:pPr>
        <w:pStyle w:val="ListBullet"/>
      </w:pPr>
      <w:r>
        <w:t>V.4.2. | Tanks und Tankfahrzeuge sollten für eine einzige und definierte Gasqualität bestimmt sein. Medizinische Gase können jedoch in denselben Tanks, Behältern zur Zwischenlagerung oder Tankfahrzeugen wie das jeweilige nicht-medizinische Gas gelagert oder transportiert werden, sofern die Qualität des nicht-medizinischen Gases mindestens der Qualität des medizinischen Gases entspricht, die Standards der guten Herstellungspraxis eingehalten werden und das Vorgehen nach den Grundsätzen des Qualitätsrisikomanagements vertretbar ist.</w:t>
      </w:r>
    </w:p>
    <w:p>
      <w:pPr>
        <w:pStyle w:val="ListBullet"/>
      </w:pPr>
      <w:r>
        <w:t>V.4.3. | Ein gemeinsames System zur Gaslieferung an Abfüllstationen für medizinische und nicht-medizinische Gase ist nur zulässig, wenn mit einer validierten Methode ein Rückfluss von der Gasleitung nicht medizinischer Gase zu der Leitung der medizinischen Gase verhindert wird.</w:t>
      </w:r>
    </w:p>
    <w:p>
      <w:pPr>
        <w:pStyle w:val="ListBullet"/>
      </w:pPr>
      <w:r>
        <w:t>V.4.4. | Abfüllstationen sind ausschließlich für ein einziges medizinisches Gas oder nur für ein bestimmtes Gemisch medizinischer Gase zu verwenden. In Ausnahmefällen ist das Abfüllen von Gasen für nicht medizinische Zwecke aus Abfüllstationen zulässig, die für medizinische Gase vorgesehen sind, wenn dies ordnungsgemäß begründet ist und kontrolliert erfolgt. In diesen Fällen muss die Qualität des nicht-medizinischen Gases mindestens der erforderlichen Qualität des medizinischen Gases entsprechen, und die Standards der guten Herstellungspraxis sind einzuhalten. Darüber hinaus hat in solchen Fällen die Befüllung in Kampagnen zu erfolgen.</w:t>
      </w:r>
    </w:p>
    <w:p>
      <w:pPr>
        <w:pStyle w:val="ListBullet"/>
      </w:pPr>
      <w:r>
        <w:t>V.4.5. | Reparatur- und Wartungsvorgänge (einschließlich Reinigung und Spülen) der Ausrüstung dürfen die Qualität der medizinischen Gase nicht beeinträchtigen. In den Verfahren sind insbesondere die Maßnahmen zu beschreiben, die nach Reparatur- und Wartungsvorgängen, bei denen die Systemintegrität verletzt wird, zu ergreifen sind. Insbesondere ist nachzuweisen, dass die Ausrüstung frei von Kontaminationen ist, welche die Qualität des Fertigprodukts vor seiner Freigabe zur Anwendung negativ beeinflussen könnten. Über derartige Maßnahmen sind Protokolle zu führen.</w:t>
      </w:r>
    </w:p>
    <w:p>
      <w:pPr>
        <w:pStyle w:val="ListBullet"/>
      </w:pPr>
      <w:r>
        <w:t>V.4.6. | In einem Verfahren sind die Maßnahmen zu beschreiben, die zu ergreifen sind, wenn ein Tankfahrzeug (nach dem Transport von nicht-medizinischen Gasen unter den in Abschnitt V.4.2 genannten Bedingungen oder nach einem Wartungsvorgang) wieder zum Transport medizinischer Gase eingesetzt wird. Zu diesen Maßnahmen gehören auch geeignete analytische Tests.</w:t>
      </w:r>
    </w:p>
    <w:p>
      <w:pPr>
        <w:pStyle w:val="Heading2"/>
      </w:pPr>
      <w:r>
        <w:t>V.5. Dokumentation</w:t>
      </w:r>
    </w:p>
    <w:p>
      <w:r>
        <w:rPr>
          <w:b/>
        </w:rPr>
        <w:t>Tabelle (zeilenweise wiedergegeben):</w:t>
      </w:r>
    </w:p>
    <w:p>
      <w:pPr>
        <w:pStyle w:val="ListBullet"/>
      </w:pPr>
      <w:r>
        <w:t>V.5.1. | Die im Chargenprotokoll von medizinischen Gasen enthaltenen Daten müssen die wesentlichen Aspekte der Abfüllvorgänge für jeden befüllten Behälter nachvollziehbar belegen. Soweit angebracht, wird Folgendes dokumentiert: — Produktname; — Chargennummer; — Datum und Uhrzeit des Abfüllprozesses; — Identität der Person(en) für jeden wichtigen Arbeitsschritt (z. B. Räumung der Anlage, Entgegennahme, Vorbereitung der Abfüllung, Abfüllung usw.); — Referenznummer(n) der Charge(n) für das/die für die Befüllung verwendete(n) Gas(e), einschließlich Statusangabe; — eingesetzte Ausrüstung (z. B. Abfüllstation); — Anzahl der Gasflaschen bzw. mobilen Flüssiggasbehälter vor dem Befüllen, einschließlich deren individueller Referenzcode und der Wasserkapazität(en); — vor der Abfüllung durchgeführte Tätigkeiten; — wichtige Parameter, die erforderlich sind, um eine korrekte Abfüllung unter Standardbedingungen zu gewährleisten; — Ergebnisse der geeigneten Prüfungen, um sicherzustellen, dass die Gasflaschen bzw. mobilen Flüssiggasbehälter befüllt wurden; — ein Muster des Chargenetiketts; — Spezifikation des Fertigprodukts und Ergebnisse der Qualitätskontrollen (einschließlich Angabe des Kalibrierungsstatus der Testausrüstung); — Anzahl der zurückgewiesenen Gasflaschen bzw. mobilen Flüssiggasbehälter mit individuellen Angaben zur Identifizierung und den Gründen für die Zurückweisung; — eine detaillierte Auflistung aller Probleme und ungewöhnlichen Vorkommnisse sowie jede Abweichung von den Befüllungsanweisungen, abgezeichnet durch die Person, die diese gebilligt hat; — Freigabebestätigung durch die sachkundige Person mit Datum und Unterschrift.</w:t>
      </w:r>
    </w:p>
    <w:p>
      <w:pPr>
        <w:pStyle w:val="ListBullet"/>
      </w:pPr>
      <w:r>
        <w:t>V.5.2. | Protokolle sind für jede Gascharge, die zur Auslieferung in die Tanks von Gesundheitseinrichtungen vorgesehen ist, zu führen. Diese Protokolle umfassen, soweit zutreffend, Folgendes: — Produktname; — Chargennummer; — Kennnummer des Tanks; — Datum und Uhrzeit des Abfüllprozesses; — Identifizierung der Person(en), die das Befüllen des Tanks (Tankfahrzeugs) durchführt; — Angabe des beliefernden Tankfahrzeugs (Tanks), gegebenenfalls Angabe des Ausgangsgases; — relevante Angaben zum Befüllungsvorgang; — Spezifikation des Fertigprodukts und Ergebnisse der Qualitätskontrollen (einschließlich Angabe des Kalibrierungsstatus der Testausrüstung); — eine detaillierte Auflistung aller Probleme und ungewöhnlichen Vorkommnisse sowie jede Abweichung von den Befüllungsanweisungen, abgezeichnet durch die Person, die diese gebilligt hat; — Freigabebestätigung durch die sachkundige Person mit Datum und Unterschrift.</w:t>
      </w:r>
    </w:p>
    <w:p>
      <w:pPr>
        <w:pStyle w:val="Heading2"/>
      </w:pPr>
      <w:r>
        <w:t>V.6. Produktion</w:t>
      </w:r>
    </w:p>
    <w:p>
      <w:r>
        <w:rPr>
          <w:b/>
        </w:rPr>
        <w:t>Tabelle (zeilenweise wiedergegeben):</w:t>
      </w:r>
    </w:p>
    <w:p>
      <w:pPr>
        <w:pStyle w:val="ListBullet"/>
      </w:pPr>
      <w:r>
        <w:t>V.6.1. | Der Transfer und die Auslieferung von kryogenem und verflüssigtem Gas erfolgt gemäß den folgenden Anforderungen: a) Der Transfer von kryogenen oder verflüssigten Gasen aus dem Primärlager, einschließlich der Kontrollen vor dem Transfer, muss nach validierten Verfahren erfolgen, die so konzipiert sind, dass jegliche Kontamination vermieden wird. Die Transferschläuche müssen mit Rückschlagventilen oder anderen geeigneten Alternativen ausgestattet sein. Flexible Anschlüsse, Kupplungsschläuche und Anschlussstücke müssen vor der Verwendung mit dem betreffenden Gas durchgespült werden. b) Die zum Befüllen von Tanks und Tankfahrzeugen verwendeten Transferschläuche müssen mit produktspezifischen Anschlüssen ausgerüstet sein. Der Einsatz von Adaptern, die den Anschluss an Tanks und Tankfahrzeuge ermöglichen, die nicht für dieselben Gase bestimmt sind, muss angemessen kontrolliert werden. c) Gaslieferungen können in Tanks eingefüllt werden, die schon Gas mit derselben definierten Gasqualität enthalten, sofern eine Probe belegt, dass die Qualität des gelieferten Gases akzeptabel ist. Diese Probe kann von dem anzuliefernden Gas oder nach der Einfüllung in den Lagertank entnommen werden. d) Die Befüllung von bei Kunden vor Ort verbleibenden Tanks ist gemäß Abschnitt V.7.3 vorzunehmen.</w:t>
      </w:r>
    </w:p>
    <w:p>
      <w:pPr>
        <w:pStyle w:val="ListBullet"/>
      </w:pPr>
      <w:r>
        <w:t>V.6.2. | Die Befüllung und Kennzeichnung von Gasflaschen und mobilen Flüssiggasbehältern erfolgt gemäß den folgenden Anforderungen: a) Die Charge(n) eines Gases/von Gasen muss/müssen vor der Befüllung von Gasflaschen und mobilen Flüssiggasbehältern festgelegt, entsprechend ihrer Spezifikationen geprüft und zum Befüllen freigegeben sein. b) Im Falle kontinuierlicher Prozesse sind adäquate Inprozesskontrollen durchzuführen, um sicherzustellen, dass das Gas den Spezifikationen entspricht. c) Gasflaschen, mobile Flüssiggasbehälter und Ventile müssen den entsprechenden technischen Spezifikationen und einschlägigen Anforderungen der Zulassung entsprechen. Sie müssen einem einzelnen medizinischen Gas oder einem festgelegten Gemisch medizinischer Gase zugeordnet werden. Die Gasflaschen sind nach einschlägigen Standards farblich zu codieren. Sie müssen vorzugsweise mit Minimalrestdruckventil mit Rückströmverhinderung ausgestattet sein, um einen angemessenen Schutz vor Kontamination zu gewährleisten. d) Gasflaschen, mobile Flüssiggasbehälter und Ventile sind vor dem ersten Gebrauch in der Produktion zu überprüfen und ordnungsgemäß zu warten. Werden Medizinprodukte mit CE-Kennzeichnung verwendet, so muss die Wartung gemäß den Anweisungen des Herstellers erfolgen. e) Überprüfungen und Wartungsvorgänge dürfen die Qualität und Sicherheit des Arzneimittels nicht beeinträchtigen. Wasser für die Durchführung der Wasserdruckprüfung muss zumindest Trinkwasserqualität haben. f) Im Rahmen der Überprüfungen und Wartungsarbeiten sind die Gasflaschen vor dem Einbau des Ventils einer inneren Sichtkontrolle zu unterziehen, um sicherzustellen, dass sie nicht mit Wasser oder anderen Verunreinigungen kontaminiert sind. Dies ist insbesondere erforderlich, wenn sie neu sind und erstmalig für medizinische Gase verwendet werden, im Anschluss an eine gesetzlich vorgeschriebene Wasserdruck- oder gleichwertige Prüfung, bei der das Ventil ausgebaut wird, oder wenn das Ventil ausgetauscht wird. g) Nach dem Einbau ist das Ventil geschlossen zu halten, um jegliche Kontamination der Gasflasche zu verhindern. Bestehen Zweifel am Zustand des Inneren der Gasflasche, so ist das Ventil zu entfernen und das Innere der Gasflasche zu inspizieren, um sicherzustellen, dass es nicht verunreinigt ist. h) Wartungs- und Reparaturvorgänge an Gasflaschen, mobilen Flüssiggasbehältern und Ventilen liegen in der Verantwortung des Herstellers des Arzneimittels. Im Fall der Vergabe von Unteraufträgen dürfen sie nur von genehmigten Unterauftragnehmern ausgeführt werden, und es werden hierüber Verträge – die technische Spezifikationen enthalten – aufgesetzt. Unterauftragnehmer sind zu auditieren, um sicherzustellen, dass angemessene Standards eingehalten werden. i) Es ist ein System einzurichten, das die Rückverfolgbarkeit von Gasflaschen, mobilen Flüssiggasbehältern und Ventilen gewährleistet. j) Vor Befüllung sind u. a. folgende Prüfungen durchzuführen: — Es ist eine Prüfung nach einem festgelegten Verfahren durchzuführen, um sicherzustellen, dass in jeder Gasflasche ein positiver Restdruck vorhanden ist. Ist eine Gasflasche mit einem Minimalrestdruckventil ausgerüstet und ist kein Anzeichen für einen positiven Restdruck vorhanden, ist das ordnungsgemäße Funktionieren des Ventils zu überprüfen. Wird festgestellt, dass das Ventil nicht ordnungsgemäß funktioniert, so ist die Gasflasche zur Wartung zu geben. Ist die Gasflasche nicht mit einem Minimalrestdruckventil ausgerüstet und ist kein positiver Restdruck vorhanden, so ist die Gasflasche auszusortieren und zusätzlichen Maßnahmen zu unterziehen, um sicherzustellen, dass sie nicht mit Wasser oder anderen Stoffen verunreinigt ist; zusätzliche Maßnahmen wie eine innere Sichtkontrolle mit anschließender Reinigung nach einem validierten Verfahren können in Betracht gezogen werden. — Kontrolle, um sicherzustellen, dass alle früheren Chargenetiketten entfernt wurden. — Kontrolle, ob beschädigte Produktetiketten entfernt und ersetzt wurden. — Äußere Sichtprüfung aller Gasflaschen, mobilen Flüssiggasbehälter und Ventile auf Beulen, Schweißschäden, Ablagerungen, sonstige Schäden und Verunreinigungen mit Öl oder Fett; erforderlichenfalls ist eine Reinigung durchzuführen. — Kontrolle des Anschlusses jeder Gasflasche oder jedes mobilen Flüssiggasbehälters, um festzustellen, ob es sich um den richtigen Anschluss für das jeweilige Gas handelt. — Kontrolle des Datums der nächsten anstehenden Prüfung des Ventils (bei Ventilen, die regelmäßig geprüft werden müssen). — Kontrolle der Gasflaschen oder mobilen Flüssiggasbehälter, um sicherzustellen, dass alle Prüfungen, die aufgrund nationaler oder internationaler Vorschriften erforderlich sind (z. B. Wasserdruck- oder gleichwertige Prüfung für Gasflaschen), durchgeführt wurden und weiterhin gültig sind. — Kontrolle, ob jede Gasflasche gemäß der Zulassung farblich kodiert ist (Farbkodierung aufgrund der einschlägigen nationalen oder internationalen Standards). k) Gasflaschen, die zur Nachfüllung zurückgegeben werden, sind gemäß den in der Zulassung festgelegten Verfahren sorgfältig vorzubehandeln, um das Kontaminationsrisiko so gering wie möglich zu halten. Diese Verfahren, zu denen auch Evakuieren und/oder Spülen gehören, sind zu validieren. l) Mobile Flüssiggasbehälter, die zur Nachfüllung zurückgegeben werden, sind gemäß den in der Zulassung festgelegten Verfahren sorgfältig vorzubehandeln, um das Kontaminationsrisiko so gering wie möglich zu halten. Insbesondere sind mobile Behälter ohne Restdruck nach einem validierten Verfahren vorzubehandeln. m) Es sind geeignete Prüfungen durchzuführen, um sicherzustellen, dass jede Gasflasche bzw. jeder mobile Flüssiggasbehälter ordnungsgemäß befüllt worden ist. n) Jede befüllte Gasflasche ist nach einem geeigneten Verfahren auf Dichtheit zu prüfen, bevor der Originalitätsverschluss angebracht wird. Durch das Prüfverfahren darf keine Verunreinigung in den Ventilauslass gelangen; die Prüfung ist gegebenenfalls nach der Entnahme einer Qualitätsprobe durchzuführen. o) Nach dem Befüllen müssen die Gasflaschenventile mit Abdeckungen versehen werden, um die Auslässe vor Kontamination zu schützen. Gasflaschen und mobile Flüssiggasbehälter müssen mit Originalitätsverschlüssen versehen werden. p) Jede Gasflasche oder jeder mobile Flüssiggasbehälter ist zu kennzeichnen. Die Chargennummer und das Verfallsdatum können auf gesonderten Etiketten angegeben werden. q) Bei medizinischen Gasen, die durch Mischen von zwei oder mehr verschiedenen Gasen (inline vor dem Befüllen oder direkt in der Gasflasche) hergestellt werden, ist der Mischprozess zu validieren, um sicherzustellen, dass die Gase in jeder Gasflasche ordnungsgemäß gemischt vorliegen und das Gemisch homogen ist.</w:t>
      </w:r>
    </w:p>
    <w:p>
      <w:pPr>
        <w:pStyle w:val="Heading2"/>
      </w:pPr>
      <w:r>
        <w:t>V.7. Qualitätskontrolle</w:t>
      </w:r>
    </w:p>
    <w:p>
      <w:r>
        <w:rPr>
          <w:b/>
        </w:rPr>
        <w:t>Tabelle (zeilenweise wiedergegeben):</w:t>
      </w:r>
    </w:p>
    <w:p>
      <w:pPr>
        <w:pStyle w:val="ListBullet"/>
      </w:pPr>
      <w:r>
        <w:t>V.7.1. | Bei Gasflaschen müssen der Probenahmeplan und die durchzuführende Analyse folgende Anforderungen erfüllen, sofern in der Zulassung nichts anderes angegeben ist: a) Bei einem einzigen medizinischen Gas, das über eine Mehrflaschenabfüllstation in Gasflaschen gefüllt wird, ist das Gas aus mindestens einer Flasche aus jedem Abfüllvorgang, beim Wechsel der Gasflaschen an der Abfüllstation, auf Identität und Gehalt zu prüfen. b) Werden Gasflaschen einzeln mit einem einzigen medizinischen Gas befüllt, ist das Gas aus mindestens einer Gasflasche jedes nicht unterbrochenen Abfüllvorgangs auf Identität und Gehalt zu prüfen. Ein Beispiel für einen nicht unterbrochenen Abfüllvorgang ist die Produktion während einer Arbeitsschicht mit demselben Personal, derselben Ausrüstung und derselben abzufüllenden Gascharge. c) Bei einem medizinischen Gas, das durch Mischen von zwei oder mehr Gasen in einer Gasflasche aus derselben Abfüllstation hergestellt wird, ist das Gas aus jeder Gasflasche auf Gehalt und Identität jeder Gaskomponente zu prüfen. Bei etwaigen Hilfsstoffen kann die Identitätsprüfung an einer Gasflasche pro Abfüllvorgang (oder bei Gasflaschen, die einzeln befüllt werden, pro nicht unterbrochenem Abfüllvorgang) durchgeführt werden. Es ist zulässig, im Fall eines validierten automatisierten Abfüllsystems weniger Gasflaschen zu testen. d) Für vorgemischte Gase gelten, wenn eine kontinuierliche Inline-Prüfung des abzufüllenden Gemisches erfolgt, dieselben Grundsätze wie für Einzelgase. Für vorgemischte Gase gelten, wenn keine kontinuierliche Inline-Prüfung des abzufüllenden Gemisches erfolgt, dieselben Grundsätze wie für medizinische Gase, die durch das Mischen von Gasen in den Gasflaschen hergestellt werden. Die Testung auf Wassergehalt sollte durchgeführt werden, soweit nicht anderweitig begründet.</w:t>
      </w:r>
    </w:p>
    <w:p>
      <w:pPr>
        <w:pStyle w:val="ListBullet"/>
      </w:pPr>
      <w:r>
        <w:t>V.7.2. | Die Endkontrolle an mobilen Flüssiggasbehältern umfasst einen Test jedes Behälters auf Gehalt und Identität, sofern in der Zulassung nichts anderes bestimmt ist. Das chargenweise Testen ist nur zulässig, wenn nachgewiesen wurde, dass die kritischen Eigenschaften des Gases, das vor dem Nachfüllen in jedem Behälter verbleibt, gewahrt wurden.</w:t>
      </w:r>
    </w:p>
    <w:p>
      <w:pPr>
        <w:pStyle w:val="ListBullet"/>
      </w:pPr>
      <w:r>
        <w:t>V.7.3. | Bei Kunden verbleibende Flüssiggasbehälter (Tanks in Gesundheitseinrichtungen oder Heim-Flüssiggasbehälter), die aus nur für diesen Zweck genutzten Tankfahrzeugen vor Ort nachgefüllt werden, müssen nach dem Befüllen nicht beprobt werden, sofern der Lieferung ein Analysezertifikat über den Inhalt des Tankfahrzeugs beigefügt ist. Es ist jedoch nachzuweisen, dass die Spezifikation des Gases in den Behältern über aufeinanderfolgende Nachfüllungen hinweg aufrechterhalten bleibt.</w:t>
      </w:r>
    </w:p>
    <w:p>
      <w:pPr>
        <w:pStyle w:val="ListBullet"/>
      </w:pPr>
      <w:r>
        <w:t>V.7.4. | Referenzproben und Rückstellmuster sind nicht erforderlich, sofern nichts anderes bestimmt ist. Laufende Stabilitätsstudien sind nicht erforderlich, wenn Anfangsstabilitätsstudien durch bibliografische Daten ersetzt wurden.</w:t>
      </w:r>
    </w:p>
    <w:p>
      <w:pPr>
        <w:pStyle w:val="Heading2"/>
      </w:pPr>
      <w:r>
        <w:t>VI. UNTER DRUCK STEHENDE DOSIERBARE AEROSOLPRÄPARATE ZUR INHALATION</w:t>
      </w:r>
    </w:p>
    <w:p>
      <w:pPr>
        <w:pStyle w:val="Heading2"/>
      </w:pPr>
      <w:r>
        <w:t>VI.1. Allgemeines</w:t>
      </w:r>
    </w:p>
    <w:p>
      <w:r>
        <w:rPr>
          <w:b/>
        </w:rPr>
        <w:t>Tabelle (zeilenweise wiedergegeben):</w:t>
      </w:r>
    </w:p>
    <w:p>
      <w:pPr>
        <w:pStyle w:val="ListBullet"/>
      </w:pPr>
      <w:r>
        <w:t>VI.1.1. | Die Herstellung von unter Druck stehenden dosierbaren Aerosol-Tierarzneimitteln mit Dosierventilen zur Inhalation muss unter Bedingungen erfolgen, die mikrobielle und partikelförmige Verunreinigungen auf ein Minimum reduzieren.</w:t>
      </w:r>
    </w:p>
    <w:p>
      <w:pPr>
        <w:pStyle w:val="ListBullet"/>
      </w:pPr>
      <w:r>
        <w:t>VI.1.2. | Besonders wichtig sind die Qualitätssicherung der Ventilkomponenten und, bei Suspensionen, die Sicherstellung der Homogenität.</w:t>
      </w:r>
    </w:p>
    <w:p>
      <w:pPr>
        <w:pStyle w:val="Heading2"/>
      </w:pPr>
      <w:r>
        <w:t>VI.2. Räumlichkeiten und Ausrüstungen</w:t>
      </w:r>
    </w:p>
    <w:p>
      <w:r>
        <w:rPr>
          <w:b/>
        </w:rPr>
        <w:t>Tabelle (zeilenweise wiedergegeben):</w:t>
      </w:r>
    </w:p>
    <w:p>
      <w:pPr>
        <w:pStyle w:val="ListBullet"/>
      </w:pPr>
      <w:r>
        <w:t>VI.2.1. | Soweit möglich, sind Herstellung und Abfüllung in einem geschlossenen System durchzuführen.</w:t>
      </w:r>
    </w:p>
    <w:p>
      <w:pPr>
        <w:pStyle w:val="ListBullet"/>
      </w:pPr>
      <w:r>
        <w:t>VI.2.2. | Werden Produkte oder gereinigte Bestandteile der Umgebungsluft ausgesetzt, so ist der Bereich mit gefilterter Luft zu versorgen; er muss mindestens den Anforderungen der Reinheitsklasse D entsprechen und darf nur durch Schleusen zu betreten sein.</w:t>
      </w:r>
    </w:p>
    <w:p>
      <w:pPr>
        <w:pStyle w:val="Heading2"/>
      </w:pPr>
      <w:r>
        <w:t>VI.3. Produktion und Qualitätskontrolle</w:t>
      </w:r>
    </w:p>
    <w:p>
      <w:r>
        <w:rPr>
          <w:b/>
        </w:rPr>
        <w:t>Tabelle (zeilenweise wiedergegeben):</w:t>
      </w:r>
    </w:p>
    <w:p>
      <w:pPr>
        <w:pStyle w:val="ListBullet"/>
      </w:pPr>
      <w:r>
        <w:t>VI.3.1. | Die Spezifikationen, Probenahme und Prüfung der Dosierventile müssen ihrer Komplexität angemessen Rechnung tragen.</w:t>
      </w:r>
    </w:p>
    <w:p>
      <w:pPr>
        <w:pStyle w:val="ListBullet"/>
      </w:pPr>
      <w:r>
        <w:t>VI.3.2. | Die Einhaltung der Qualitätsanforderungen durch den Ventilhersteller ist zu prüfen.</w:t>
      </w:r>
    </w:p>
    <w:p>
      <w:pPr>
        <w:pStyle w:val="ListBullet"/>
      </w:pPr>
      <w:r>
        <w:t>VI.3.3. | Sämtliche Flüssigkeiten (z. B. flüssige oder gasförmige Treibgase) sind so zu filtern, dass Partikel mit einer Größe von mehr als 0,2 Mikrometer zurückgehalten werden. Nach Möglichkeit ist eine weitere Filterung unmittelbar vor dem Abfüllen in Betracht zu ziehen.</w:t>
      </w:r>
    </w:p>
    <w:p>
      <w:pPr>
        <w:pStyle w:val="ListBullet"/>
      </w:pPr>
      <w:r>
        <w:t>VI.3.4. | Behälter und Ventile sind nach einem validierten, für die Verwendung des Produkts geeigneten Verfahren zu reinigen, um sicherzustellen, dass keine Kontamination mit Fertigungshilfsmitteln (z. B. Schmierstoffen) oder eine unzulässige mikrobiologische Kontamination erfolgt. Nach der Reinigung sind die Ventile in sauberen, geschlossenen Behältern aufzubewahren, und es sind Vorkehrungen zu treffen, um bei der anschließenden Handhabung, z. B. bei der Entnahme von Proben, keine Kontamination zu verursachen. Die Behälter sind vor dem Abfüllen in sauberem Zustand in die Fülllinie zu speisen oder inline unmittelbar vor dem Abfüllen zu reinigen.</w:t>
      </w:r>
    </w:p>
    <w:p>
      <w:pPr>
        <w:pStyle w:val="ListBullet"/>
      </w:pPr>
      <w:r>
        <w:t>VI.3.5. | Es sind Vorkehrungen zu treffen, um die Homogenität der Suspensionen während des gesamten Abfüllvorgangs an der Abfüllstelle zu gewährleisten.</w:t>
      </w:r>
    </w:p>
    <w:p>
      <w:pPr>
        <w:pStyle w:val="ListBullet"/>
      </w:pPr>
      <w:r>
        <w:t>VI.3.6. | Bei Verwendung eines Zwei-Schritt-Abfüllverfahrens muss sichergestellt werden, dass in beiden Schritten das richtige Gewicht eingehalten wird, um die korrekte Zusammensetzung zu erreichen. Zu diesem Zweck wird bei jedem Schritt eine 100-prozentige Gewichtskontrolle empfohlen.</w:t>
      </w:r>
    </w:p>
    <w:p>
      <w:pPr>
        <w:pStyle w:val="ListBullet"/>
      </w:pPr>
      <w:r>
        <w:t>VI.3.7. | Die Kontrollen nach der Abfüllung dienen dem Nachweis, dass keine unzulässige Undichtigkeit vorhanden ist. Jede Dichtigkeitsprüfung ist so durchzuführen, dass eine mikrobielle Verunreinigung oder Restfeuchtigkeit vermieden wird.</w:t>
      </w:r>
    </w:p>
    <w:p>
      <w:pPr>
        <w:pStyle w:val="Heading1"/>
      </w:pPr>
      <w:r>
        <w:t>ANHANG IV COMPUTERGESTÜTZTE SYSTEME</w:t>
      </w:r>
    </w:p>
    <w:p>
      <w:pPr>
        <w:pStyle w:val="Heading2"/>
      </w:pPr>
      <w:r>
        <w:t>I. GEGENSTAND</w:t>
      </w:r>
    </w:p>
    <w:p>
      <w:r>
        <w:t>Die Anforderungen in diesem Anhang gelten für computergestützte Systeme, die im Zusammenhang mit der Herstellung von Tierarzneimitteln verwendet werden, soweit diese Verwendung unter die gute Herstellungspraxis fällt. Die Verwendung von Computersystemen in Herstellungsstätten zu Zwecken, die nicht mit dem pharmazeutischen Qualitätssystem in Verbindung stehen (z. B. Personal- oder Geschäftsangelegenheiten usw.), ist von den Anforderungen in diesem Anhang nicht betroffen.</w:t>
      </w:r>
    </w:p>
    <w:p>
      <w:pPr>
        <w:pStyle w:val="Heading2"/>
      </w:pPr>
      <w:r>
        <w:t>II. ALLGEMEINE BESTIMMUNGEN</w:t>
      </w:r>
    </w:p>
    <w:p>
      <w:r>
        <w:rPr>
          <w:b/>
        </w:rPr>
        <w:t>Tabelle (zeilenweise wiedergegeben):</w:t>
      </w:r>
    </w:p>
    <w:p>
      <w:pPr>
        <w:pStyle w:val="ListBullet"/>
      </w:pPr>
      <w:r>
        <w:t>II.1. | Die IT-Infrastruktur, die bei der Herstellung von Tierarzneimitteln verwendet wird, muss qualifiziert sein. Alle damit zusammenhängenden Software-Anwendungen sind zudem zu validieren. Der Umfang der Validierung beruht auf den Grundsätzen des Risikomanagements, wobei der Notwendigkeit Rechnung zu tragen ist, die Produktqualität und die Datenintegrität zu gewährleisten.</w:t>
      </w:r>
    </w:p>
    <w:p>
      <w:pPr>
        <w:pStyle w:val="ListBullet"/>
      </w:pPr>
      <w:r>
        <w:t>II.2. | Die Auslagerung von Aufgaben/Vorgängen im Zusammenhang mit der Installation, Konfiguration, Validierung, Wartung und Änderung eines computergestützten Systems oder anderer damit verbundener Dienstleistungen oder zur Datenverarbeitung hat durch schriftlichen Vertrag zu erfolgen, in dem die Zuständigkeiten der einzelnen Parteien klar abgegrenzt werden.</w:t>
      </w:r>
    </w:p>
    <w:p>
      <w:pPr>
        <w:pStyle w:val="ListBullet"/>
      </w:pPr>
      <w:r>
        <w:t>II.3. | Die Eignung des Auftragnehmers (gegebenenfalls auch durch Audits) ist anhand der Grundsätze des Risikomanagements zu bewerten.</w:t>
      </w:r>
    </w:p>
    <w:p>
      <w:pPr>
        <w:pStyle w:val="ListBullet"/>
      </w:pPr>
      <w:r>
        <w:t>II.4. | Unterlagen, die mit kommerziell erhältlichen Standardprodukten mitgeliefert werden, sind vom Hersteller daraufhin zu überprüfen, ob die Anwenderanforderungen erfüllt sind.</w:t>
      </w:r>
    </w:p>
    <w:p>
      <w:pPr>
        <w:pStyle w:val="ListBullet"/>
      </w:pPr>
      <w:r>
        <w:t>II.5. | Die Lieferanten von Software, die speziell für die Verwendung im Herstellungsprozess entwickelt bzw. auf diese ausgerichtet ist, müssen qualifiziert sein. Bei Bedarf und auf Ersuchen der Inspektoren muss der Hersteller von Tierarzneimitteln in der Lage sein, Informationen aus dem Qualitätssystem der Lieferanten oder Entwickler dieser spezifischen Software vorzulegen. Die vertraglichen Vereinbarungen zwischen den Softwarelieferanten und dem Hersteller von Tierarzneimitteln müssen entsprechende Bestimmungen enthalten.</w:t>
      </w:r>
    </w:p>
    <w:p>
      <w:pPr>
        <w:pStyle w:val="Heading2"/>
      </w:pPr>
      <w:r>
        <w:t>III. ENTWICKLUNGSPHASE</w:t>
      </w:r>
    </w:p>
    <w:p>
      <w:r>
        <w:rPr>
          <w:b/>
        </w:rPr>
        <w:t>Tabelle (zeilenweise wiedergegeben):</w:t>
      </w:r>
    </w:p>
    <w:p>
      <w:pPr>
        <w:pStyle w:val="ListBullet"/>
      </w:pPr>
      <w:r>
        <w:t>III.1. | Der Hersteller trifft alle zweckmäßigen Maßnahmen, um sicherzustellen, dass das System dazu geeignet ist, die Qualität des Produkts, die Beständigkeit des Herstellungsprozesses und die Erreichung der Ziele des pharmazeutischen Qualitätssystems zu gewährleisten.</w:t>
      </w:r>
    </w:p>
    <w:p>
      <w:pPr>
        <w:pStyle w:val="ListBullet"/>
      </w:pPr>
      <w:r>
        <w:t>III.2. | Die Spezifikationen der Anwenderanforderungen müssen die erforderlichen Funktionen des computergestützten Systems beschreiben und auf den Grundsätzen der Risikobewertung beruhen. Die Spezifikationen der Anwenderanforderungen müssen während des gesamten Lebenszyklus des computergestützten Systems rückverfolgbar sein.</w:t>
      </w:r>
    </w:p>
    <w:p>
      <w:pPr>
        <w:pStyle w:val="ListBullet"/>
      </w:pPr>
      <w:r>
        <w:t>III.3. | Die Standards, Protokolle, Akzeptanzkriterien, Verfahren und Aufzeichnungen sind auf der Grundlage einer Risikobewertung zu begründen.</w:t>
      </w:r>
    </w:p>
    <w:p>
      <w:pPr>
        <w:pStyle w:val="ListBullet"/>
      </w:pPr>
      <w:r>
        <w:t>III.4. | Die Validierungsunterlagen und -berichte müssen die maßgeblichen Schritte des gesamten Lebenszyklus abdecken. Die Validierungsunterlagen müssen Protokolle über die Änderungskontrolle (falls zutreffend) und Berichte über alle während des Validierungsprozesses festgestellten Abweichungen enthalten.</w:t>
      </w:r>
    </w:p>
    <w:p>
      <w:pPr>
        <w:pStyle w:val="ListBullet"/>
      </w:pPr>
      <w:r>
        <w:t>III.5. | Es muss ein Prozess für die Validierung von maßgeschneiderten oder für den Kunden spezifisch angepassten computergestützten Systemen bereitstehen, der die formale Bewertung der Qualitäts- und Leistungsparameter sowie die diesbezügliche Berichterstattung für alle Lebenszyklusstufen des Systems gewährleistet.</w:t>
      </w:r>
    </w:p>
    <w:p>
      <w:pPr>
        <w:pStyle w:val="ListBullet"/>
      </w:pPr>
      <w:r>
        <w:t>III.6. | Die Eignung der Prüfverfahren und Prüfszenarien ist nachzuweisen. Grenzwerte für Systemparameter (Prozessparameter), Datengrenzwerte und Fehlerbearbeitung sind gebührend zu berücksichtigen. Wenn automatisierte Prüfwerkzeuge verwendet werden, ist eine Bewertung ihrer Eignung, einschließlich der Umgebung, in der die Prüfung durchgeführt wird, erforderlich.</w:t>
      </w:r>
    </w:p>
    <w:p>
      <w:pPr>
        <w:pStyle w:val="ListBullet"/>
      </w:pPr>
      <w:r>
        <w:t>III.7. | Bei der Überführung von Daten in ein anderes Datenformat oder System ist sicherzustellen, dass die Daten durch die Migration nicht verändert wurden (in Bezug auf Wert oder Bedeutung).</w:t>
      </w:r>
    </w:p>
    <w:p>
      <w:pPr>
        <w:pStyle w:val="Heading2"/>
      </w:pPr>
      <w:r>
        <w:t>IV. BETRIEBSPHASE</w:t>
      </w:r>
    </w:p>
    <w:p>
      <w:r>
        <w:rPr>
          <w:b/>
        </w:rPr>
        <w:t>Tabelle (zeilenweise wiedergegeben):</w:t>
      </w:r>
    </w:p>
    <w:p>
      <w:pPr>
        <w:pStyle w:val="ListBullet"/>
      </w:pPr>
      <w:r>
        <w:t>IV.1. | Es ist eine aktuelle Liste aller relevanten Systeme und ihrer Funktion (Verzeichnis) zu führen. Bei kritischen Systemen sind in der Systembeschreibung die physischen und logischen Vorkehrungen, Datenflüsse und Schnittstellen zu anderen Systemen oder Prozessen, etwaige Hardware- und Softwareanforderungen und Sicherheitsmaßnahmen anzugeben.</w:t>
      </w:r>
    </w:p>
    <w:p>
      <w:pPr>
        <w:pStyle w:val="ListBullet"/>
      </w:pPr>
      <w:r>
        <w:t>IV.2. | Computergestützte Systeme, die Daten elektronisch mit anderen Systemen austauschen, müssen geeignete integrierte Prüfungen der korrekten und sicheren Dateneingabe und -verarbeitung umfassen.</w:t>
      </w:r>
    </w:p>
    <w:p>
      <w:pPr>
        <w:pStyle w:val="ListBullet"/>
      </w:pPr>
      <w:r>
        <w:t>IV.3. | Bei manuell eingegebenen kritischen Daten ist eine zusätzliche Prüfung der Richtigkeit der Daten durchzuführen. Diese Prüfung kann von einem zweiten Bearbeiter oder anhand einer validierten elektronischen Methode durchgeführt werden. Die Kritikalität und die möglichen Folgen fehlerhafter oder falsch eingegebener Daten sind im Rahmen der Grundsätze des Risikomanagements zu behandeln.</w:t>
      </w:r>
    </w:p>
    <w:p>
      <w:pPr>
        <w:pStyle w:val="ListBullet"/>
      </w:pPr>
      <w:r>
        <w:t>IV.4. | Die Daten sind sowohl physisch als auch elektronisch gegen Beschädigung zu sichern. Die Lesbarkeit und Richtigkeit der gespeicherten Daten sowie deren Zugänglichkeit müssen während des gesamten Aufbewahrungszeitraums gewährleistet sein.</w:t>
      </w:r>
    </w:p>
    <w:p>
      <w:pPr>
        <w:pStyle w:val="ListBullet"/>
      </w:pPr>
      <w:r>
        <w:t>IV.5. | Alle maßgeblichen Daten sind regelmäßig zu sichern. Die Integrität und Richtigkeit der gesicherten Daten und die Möglichkeit der Datenwiederherstellung sind während der Validierung zu überprüfen und regelmäßig zu überwachen.</w:t>
      </w:r>
    </w:p>
    <w:p>
      <w:pPr>
        <w:pStyle w:val="ListBullet"/>
      </w:pPr>
      <w:r>
        <w:t>IV.6. | Es ist sicherzustellen, dass elektronisch gespeicherte Daten ausgedruckt werden können. Von den Protokollen, die zur Chargenfreigabe herangezogen werden, müssen Ausdrucke erstellt werden können, aus denen hervorgeht, ob Daten seit ihrer Ersteingabe geändert wurden.</w:t>
      </w:r>
    </w:p>
    <w:p>
      <w:pPr>
        <w:pStyle w:val="ListBullet"/>
      </w:pPr>
      <w:r>
        <w:t>IV.7. | Auf der Grundlage einer Risikobewertung kann es angebracht sein, die Erstellung von Protokollen über alle Änderungen, die für den Nachweis der Einhaltung der guten Herstellungspraxis relevant sind, und Löschungen in das System zu integrieren (ein systemgenerierter „Prüfpfad“). Im Falle einer Änderung oder Löschung relevanter Daten ist der Grund zu dokumentieren. Prüfpfade müssen verfügbar sein, in eine allgemein verständliche Form konvertierbar sein und regelmäßig überprüft werden.</w:t>
      </w:r>
    </w:p>
    <w:p>
      <w:pPr>
        <w:pStyle w:val="ListBullet"/>
      </w:pPr>
      <w:r>
        <w:t>IV.8. | Änderungen an einem computergestützten System, einschließlich den Systemkonfigurationen, dürfen nur kontrolliert nach einem festgelegten Verfahren vorgenommen werden.</w:t>
      </w:r>
    </w:p>
    <w:p>
      <w:pPr>
        <w:pStyle w:val="ListBullet"/>
      </w:pPr>
      <w:r>
        <w:t>IV.9. | Computergestützte Systeme sind regelmäßig einer Evaluierung zu unterziehen, um zu bestätigen, dass ihr Validierungsstatus fortbesteht und sie weiterhin den Anforderungen in diesem Anhang entsprechen. Diese Evaluierungen umfassen gegebenenfalls den aktuellen Funktionsumfang, Abweichungsprotokolle, Vorfälle, Probleme, Aktualisierungshistorie sowie Statusberichte zu Leistung, Zuverlässigkeit, Sicherheit und Validierung.</w:t>
      </w:r>
    </w:p>
    <w:p>
      <w:pPr>
        <w:pStyle w:val="ListBullet"/>
      </w:pPr>
      <w:r>
        <w:t>IV.10. | Es müssen physische oder logische Kontrollen vorhanden sein, um den Zugang zu den computergestützten Systemen und zum Datenspeicherbereich auf befugte Personen zu beschränken. Es sind geeignete, der Kritikalität des computergestützten Systems entsprechende Methoden anzuwenden, um den unbefugten Zugang zum System zu verhindern.</w:t>
      </w:r>
    </w:p>
    <w:p>
      <w:pPr>
        <w:pStyle w:val="ListBullet"/>
      </w:pPr>
      <w:r>
        <w:t>IV.11. | Die Erteilung, die Änderung und der Entzug von Zugangsgenehmigungen ist zu protokollieren.</w:t>
      </w:r>
    </w:p>
    <w:p>
      <w:pPr>
        <w:pStyle w:val="ListBullet"/>
      </w:pPr>
      <w:r>
        <w:t>IV.12. | Die Identität der Anwender, die Daten generieren, ändern, bestätigen oder löschen, ist zu protokollieren, einschließlich des Tags und der Uhrzeit, an dem bzw. zu der diese Vorgänge stattgefunden haben.</w:t>
      </w:r>
    </w:p>
    <w:p>
      <w:pPr>
        <w:pStyle w:val="ListBullet"/>
      </w:pPr>
      <w:r>
        <w:t>IV.13. | Alle Vorfälle, nicht nur Systemausfälle und Datenfehler, sind zu melden und zu bewerten. Die Ursache eines kritischen Vorfalls ist zu ermitteln und gegebenenfalls als Grundlage für die Implementierung von Abhilfe- und Präventivmaßnahmen heranzuziehen.</w:t>
      </w:r>
    </w:p>
    <w:p>
      <w:pPr>
        <w:pStyle w:val="ListBullet"/>
      </w:pPr>
      <w:r>
        <w:t>IV.14. | Elektronische Protokolle können elektronisch abgezeichnet werden. Elektronische Signaturen sind dauerhaft mit dem zugehörigen Protokoll zu verknüpfen und müssen die Uhrzeit und das Datum ihrer Generierung enthalten.</w:t>
      </w:r>
    </w:p>
    <w:p>
      <w:pPr>
        <w:pStyle w:val="ListBullet"/>
      </w:pPr>
      <w:r>
        <w:t>IV.15. | Wird ein computergestütztes System zur Protokollierung der Zertifizierung verwendet, so muss das System so konzipiert/gesteuert werden, dass nur die sachkundige Person die Chargen zertifizieren kann.</w:t>
      </w:r>
    </w:p>
    <w:p>
      <w:pPr>
        <w:pStyle w:val="ListBullet"/>
      </w:pPr>
      <w:r>
        <w:t>IV.16. | Im Falle eines Systemausfalls ist die Kontinuität der Vorgänge, die zur Unterstützung kritischer Prozesse von computergestützten Systemen ausgeführt werden, zu gewährleisten (z. B. manuell oder mittels eines anderen alternativen Systems). Die Zeit, die für die Umsetzung der alternativen Vorkehrungen erforderlich ist, muss in angemessenem Verhältnis zu den Risiken stehen. Die umgesetzten Vorkehrungen sind zu dokumentieren und zu testen.</w:t>
      </w:r>
    </w:p>
    <w:p>
      <w:pPr>
        <w:pStyle w:val="ListBullet"/>
      </w:pPr>
      <w:r>
        <w:t>IV.17. | Daten können archiviert werden. Diese Daten sind auf Zugänglichkeit, Lesbarkeit und Integrität zu prüfen. Wenn am System (z. B. Computerausrüstung oder -programme) maßgebliche Änderungen vorgenommen werden sollen, ist sicherzustellen, dass die Daten weiterhin abgerufen werden können, und sind entsprechende Tests durchzuführen.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DVO (EU) 2025-2091 GMP (9 von 12) Anhang III-IV BESONDERE ANFORDERUNGEN, COMPUTERGESTÜTZTE</dc:title>
  <dc:subject>Amtsblatt der EU, CELEX 32025R2091, https://eur-lex.europa.eu/legal-content/DE/TXT/?uri=CELEX:32025R2091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