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2025-2154 GMP Wirkstoffe (2 von 3) Kap VI-XI DOKUMENTATION, MATERIALMANAGEMENT</w:t>
      </w:r>
    </w:p>
    <w:p>
      <w:r>
        <w:t>Quelle: Amtsblatt der EU, CELEX 32025R2154, https://eur-lex.europa.eu/legal-content/DE/TXT/?uri=CELEX:32025R2154</w:t>
      </w:r>
    </w:p>
    <w:p>
      <w:pPr>
        <w:pStyle w:val="Heading1"/>
      </w:pPr>
      <w:r>
        <w:t>KAPITEL VI DOKUMENTATION</w:t>
      </w:r>
    </w:p>
    <w:p>
      <w:pPr>
        <w:pStyle w:val="Heading2"/>
      </w:pPr>
      <w:r>
        <w:t>Artikel 21 Dokumentationssystem</w:t>
      </w:r>
    </w:p>
    <w:p>
      <w:r>
        <w:t>(1) Es ist ein für die Erreichung der Ziele des Qualitätsmanagementsystems geeignetes Dokumentationssystem einzurichten und zu unterhalten.</w:t>
      </w:r>
    </w:p>
    <w:p>
      <w:r>
        <w:t>(2) Das Dokumentationssystem muss die Anweisungen und Spezifikationen für die Herstellung der Wirkstoffe und ihrer Zwischenprodukte sowie die weitere für das Qualitätsmanagementsystem maßgebliche Dokumentation vollständig enthalten und dafür sorgen, dass Tätigkeiten, die die Qualität der Wirkstoffe oder ihrer Zwischenprodukte direkt oder indirekt beeinflussen können, protokolliert werden. Die Aufbewahrungsfrist für jedes Dokument oder jedes Protokoll ist im Dokumentationssystem festzulegen.</w:t>
      </w:r>
    </w:p>
    <w:p>
      <w:r>
        <w:t>(3) Alle Produktions-, Kontroll- und Vertriebsprotokolle sind mindestens ein Jahr über das Verfallsdatum einer Charge hinaus aufzubewahren.</w:t>
      </w:r>
    </w:p>
    <w:p>
      <w:r>
        <w:t>(4) Abweichend von Absatz 3 sind Protokolle bei Wirkstoffen mit Wiederholungsprüfungsdatum nach dem vollständigen Vertrieb einer Charge mindestens drei Jahre lang aufzubewahren.</w:t>
      </w:r>
    </w:p>
    <w:p>
      <w:r>
        <w:t>(5) Der Inhalt der Dokumente muss eindeutig und auf dem neuesten Stand sein.</w:t>
      </w:r>
    </w:p>
    <w:p>
      <w:r>
        <w:t>(6) Die Dokumentation darf in verschiedenen Formen geführt werden, und die Anforderungen in diesem Kapitel gelten ungeachtet der Form. Bei Verwendung von elektronischen oder fotografischen Medien, Videoaufnahmen oder anderen Datenverarbeitungssystemen sind die entsprechenden Systeme zunächst zu validieren, um sicherzustellen, dass sie geeignet sind, die Daten während der vorgeschriebenen Aufbewahrungsfrist zu speichern.</w:t>
      </w:r>
    </w:p>
    <w:p>
      <w:r>
        <w:t>(7) Werden Verkleinerungstechniken wie Mikroverfilmung oder elektronische Aufzeichnungen verwendet, um Spezifikationen, Anweisungen, Verfahren oder Protokolle festzuhalten, müssen geeignete Einrichtungen zum Abrufen der Daten und eine Möglichkeit zur Erstellung einer Druckfassung ohne Weiteres verfügbar sein.</w:t>
      </w:r>
    </w:p>
    <w:p>
      <w:r>
        <w:t>(8) Während ihres Aufbewahrungszeitraums müssen die Dokumente und Protokolle ohne Weiteres an dem Ort verfügbar sein, an dem die in diesen Dokumenten beschriebenen Aktivitäten durchgeführt wurden.</w:t>
      </w:r>
    </w:p>
    <w:p>
      <w:r>
        <w:t>(9) Elektronische Unterschriften auf Dokumenten und Protokollen müssen authentifiziert und sicher sein.</w:t>
      </w:r>
    </w:p>
    <w:p>
      <w:pPr>
        <w:pStyle w:val="Heading2"/>
      </w:pPr>
      <w:r>
        <w:t>Artikel 22 Spezifikationen</w:t>
      </w:r>
    </w:p>
    <w:p>
      <w:r>
        <w:t>(1) Es sind Spezifikationen für Folgendes festzulegen und einzuführen:</w:t>
      </w:r>
    </w:p>
    <w:p>
      <w:r>
        <w:t>a) Rohstoffe,</w:t>
      </w:r>
    </w:p>
    <w:p>
      <w:r>
        <w:t>b) Zwischenprodukte,</w:t>
      </w:r>
    </w:p>
    <w:p>
      <w:r>
        <w:t>c) Wirkstoffe,</w:t>
      </w:r>
    </w:p>
    <w:p>
      <w:r>
        <w:t>d) Etikettier- und Verpackungsmaterial.</w:t>
      </w:r>
    </w:p>
    <w:p>
      <w:r>
        <w:t>(2) Spezifikationen sind auch für alle anderen bei der Produktion von Wirkstoffen und deren Zwischenprodukten verwendeten Materialien festzulegen, die die Qualität der Wirkstoffe und ihrer Zwischenprodukte kritisch beeinträchtigen können.</w:t>
      </w:r>
    </w:p>
    <w:p>
      <w:r>
        <w:t>(3) Für Inprozesskontrollen sind Akzeptanzkriterien festzulegen und zu dokumentieren.</w:t>
      </w:r>
    </w:p>
    <w:p>
      <w:pPr>
        <w:pStyle w:val="Heading2"/>
      </w:pPr>
      <w:r>
        <w:t>Artikel 23 Protokolle über die Reinigung, Wartung und den Gebrauch der Ausrüstung</w:t>
      </w:r>
    </w:p>
    <w:p>
      <w:r>
        <w:t>(1) Es sind Protokolle über Gebrauch, Reinigung, Sanitisierung und Sterilisation sowie Wartung größerer Ausrüstungsgegenstände zu führen. Diese Protokolle müssen Folgendes enthalten:</w:t>
      </w:r>
    </w:p>
    <w:p>
      <w:r>
        <w:t>a) Datum und, falls erforderlich, Uhrzeit,</w:t>
      </w:r>
    </w:p>
    <w:p>
      <w:r>
        <w:t>b) Produkt und Chargennummer jeder in der betreffenden Ausrüstung verarbeiteten Charge,</w:t>
      </w:r>
    </w:p>
    <w:p>
      <w:r>
        <w:t>c) die Person, die die Reinigung und Wartung durchgeführt hat.</w:t>
      </w:r>
    </w:p>
    <w:p>
      <w:r>
        <w:t>(2) Wird die Ausrüstung nur für die Mono-Produktion eines Wirkstoffs oder seines Zwischenprodukts verwendet, sind individuelle Ausrüstungsprotokolle nicht nötig, sofern die Chargen lückenlos aufeinanderfolgen.</w:t>
      </w:r>
    </w:p>
    <w:p>
      <w:r>
        <w:t>(3) Die Protokolle über Gebrauch, Reinigung, Sanitisierung oder Sterilisation und Wartung können entweder Teil des Chargenprotokolls sein oder getrennt geführt werden.</w:t>
      </w:r>
    </w:p>
    <w:p>
      <w:pPr>
        <w:pStyle w:val="Heading2"/>
      </w:pPr>
      <w:r>
        <w:t>Artikel 24 Protokolle über Rohstoffe, Zwischenprodukte sowie Etikettier- und Verpackungsmaterial der Wirkstoffe</w:t>
      </w:r>
    </w:p>
    <w:p>
      <w:r>
        <w:t>(1) Es sind geeignete Protokolle zu führen, um die Rückverfolgung der gesamten Chargenhistorie zu ermöglichen.</w:t>
      </w:r>
    </w:p>
    <w:p>
      <w:r>
        <w:t>(2) Für jede Lieferung von bei der Herstellung verwendetem Material, einschließlich Rohstoffen, Zwischenprodukten sowie Etikettier- und Verpackungsmaterial sind Protokolle über den Empfang und die Chargenverarbeitung zu führen. Diese Protokolle müssen Folgendes enthalten:</w:t>
      </w:r>
    </w:p>
    <w:p>
      <w:r>
        <w:t>a) den Namen des Herstellers der gelieferten Materialien;</w:t>
      </w:r>
    </w:p>
    <w:p>
      <w:r>
        <w:t>b) die Identität und Menge jeder Lieferung jeder Charge von Rohstoffen, Zwischenprodukten oder Etikettier- und Verpackungsmaterial für Wirkstoffe;</w:t>
      </w:r>
    </w:p>
    <w:p>
      <w:r>
        <w:t>c) den Namen des Lieferanten;</w:t>
      </w:r>
    </w:p>
    <w:p>
      <w:r>
        <w:t>d) die Identifikationsnummer des Lieferanten;</w:t>
      </w:r>
    </w:p>
    <w:p>
      <w:r>
        <w:t>e) die beim Wareneingang zugewiesene Identifikationsnummer und das Datum des Wareneingangs;</w:t>
      </w:r>
    </w:p>
    <w:p>
      <w:r>
        <w:t>f) die Ergebnisse aller durchgeführten Tests oder Untersuchungen und die hieraus gezogenen Schlussfolgerungen;</w:t>
      </w:r>
    </w:p>
    <w:p>
      <w:r>
        <w:t>g) Protokolle, in denen sich die Verwendung der Materialien rückverfolgen lässt;</w:t>
      </w:r>
    </w:p>
    <w:p>
      <w:r>
        <w:t>h) Dokumentation der Untersuchung und der Überprüfung der Etikettier- und Verpackungsmaterialien für Wirkstoffe auf Übereinstimmung mit den festgesetzten Spezifikationen;</w:t>
      </w:r>
    </w:p>
    <w:p>
      <w:r>
        <w:t>i) die endgültige Entscheidung über zurückgewiesene Rohstoffe, Zwischenprodukte oder Etikettier- und Verpackungsmaterialien für Wirkstoffe.</w:t>
      </w:r>
    </w:p>
    <w:p>
      <w:r>
        <w:t>(3) Es sind Musteretiketten zum Vergleich mit den ausgegebenen Etiketten vorzuhalten.</w:t>
      </w:r>
    </w:p>
    <w:p>
      <w:pPr>
        <w:pStyle w:val="Heading2"/>
      </w:pPr>
      <w:r>
        <w:t>Artikel 25 Muster-Produktionsanweisungen</w:t>
      </w:r>
    </w:p>
    <w:p>
      <w:r>
        <w:t>(1) Die Muster-Produktionsanweisungen für jeden Wirkstoff und jedes seiner Zwischenprodukte sind von einer Person zu erstellen, zu datieren und abzuzeichnen und von einem Vertreter der Qualitätsabteilung unabhängig davon zu überprüfen, zu datieren und abzuzeichnen.</w:t>
      </w:r>
    </w:p>
    <w:p>
      <w:r>
        <w:t>(2) Die in Absatz 1 genannten Muster-Produktionsanweisungen müssen Folgendes umfassen:</w:t>
      </w:r>
    </w:p>
    <w:p>
      <w:r>
        <w:t>a) den Namen des herzustellenden Wirkstoffs oder seines Zwischenprodukts und gegebenenfalls einen eindeutigen Referenzcode für das Dokument;</w:t>
      </w:r>
    </w:p>
    <w:p>
      <w:r>
        <w:t>b) eine vollständige Liste der Rohstoffe und Zwischenprodukte, mit ausreichend spezifischen Namen oder Codes, um etwaige besondere Qualitätsmerkmale erkennen zu können;</w:t>
      </w:r>
    </w:p>
    <w:p>
      <w:r>
        <w:t>c) eine genaue Angabe der Menge oder des Mengenverhältnisses eines jeden verwendeten Rohstoffs oder Zwischenprodukts, einschließlich seiner Maßeinheit. Ist die Menge nicht festgelegt, ist die Berechnung für jede Chargengröße oder Produktionsrate beizufügen. Abweichungen der Mengen an Rohstoffen oder Zwischenprodukten sind anzugeben, sofern sie begründet sind;</w:t>
      </w:r>
    </w:p>
    <w:p>
      <w:r>
        <w:t>d) den Produktionsort und die zu verwendende größere Ausrüstung;</w:t>
      </w:r>
    </w:p>
    <w:p>
      <w:r>
        <w:t>e) detaillierte Produktionsanweisungen, einschließlich:</w:t>
      </w:r>
    </w:p>
    <w:p>
      <w:r>
        <w:t>— der Reihenfolge, die zu beachten ist,</w:t>
      </w:r>
    </w:p>
    <w:p>
      <w:r>
        <w:t>— der Grenzbereiche für die zu verwendenden Prozessparameter,</w:t>
      </w:r>
    </w:p>
    <w:p>
      <w:r>
        <w:t>— Anweisungen für die Probenahme und Inprozesskontrollen, gegebenenfalls samt ihrer Akzeptanzkriterien;</w:t>
      </w:r>
    </w:p>
    <w:p>
      <w:r>
        <w:t>— Zeitgrenzen für die Durchführung einzelner Verarbeitungsschritte und gegebenenfalls des gesamten Prozesses;</w:t>
      </w:r>
    </w:p>
    <w:p>
      <w:r>
        <w:t>— den zu erwartenden Ausbeutebereich in geeigneten Phasen der Verarbeitung oder zu bestimmten Zeitpunkten;</w:t>
      </w:r>
    </w:p>
    <w:p>
      <w:r>
        <w:t>— falls erforderlich besondere Anmerkungen und Vorsichtsmaßnahmen, die zu befolgen sind, oder Querverweise auf diese;</w:t>
      </w:r>
    </w:p>
    <w:p>
      <w:r>
        <w:t>— die Anweisungen für die Lagerung des Wirkstoffs oder seines Zwischenprodukts, einschließlich des Etikettier- und Verpackungsmaterials, um ihre Eignung für die Verarbeitung zu gewährleisten, sowie gegebenenfalls spezielle Lagerungsbedingungen mit Zeitbegrenzung.</w:t>
      </w:r>
    </w:p>
    <w:p>
      <w:pPr>
        <w:pStyle w:val="Heading2"/>
      </w:pPr>
      <w:r>
        <w:t>Artikel 26 Protokolle über die Chargenproduktion und -kontrolle</w:t>
      </w:r>
    </w:p>
    <w:p>
      <w:r>
        <w:t>(1) Für jeden Wirkstoff und jedes seiner Zwischenprodukte sind Chargenproduktionsprotokolle zu erstellen. Diese Protokolle über die Chargenproduktion müssen:</w:t>
      </w:r>
    </w:p>
    <w:p>
      <w:r>
        <w:t>a) für jede Charge die vollständigen Angaben gemäß Absatz 2 enthalten;</w:t>
      </w:r>
    </w:p>
    <w:p>
      <w:r>
        <w:t>b) vor ihrer Ausgabe überprüft werden, um zu gewährleisten, dass es sich um die korrekte Version und eine lesbare, genaue Wiedergabe der entsprechenden Muster-Produktionsanweisung handelt;</w:t>
      </w:r>
    </w:p>
    <w:p>
      <w:r>
        <w:t>c) einen Verweis auf die verwendeten Muster-Produktionsanweisungen enthalten, sofern das Protokoll über die Chargenproduktion anhand eines separaten Teils der Muster-Produktionsanweisung erstellt wird;</w:t>
      </w:r>
    </w:p>
    <w:p>
      <w:r>
        <w:t>d) bei ihrer Ausgabe mit einer unverwechselbaren Chargen- oder Identifikationsnummer versehen, datiert und abgezeichnet werden. Bei kontinuierlicher Produktion darf bis zur Zuteilung einer endgültigen Nummer der Produktcode zusammen mit dem Datum und der Zeit als eindeutige Kennzeichnung verwendet werden.</w:t>
      </w:r>
    </w:p>
    <w:p>
      <w:r>
        <w:t>(2) Protokolle über die Chargenproduktion und -prüfung müssen Folgendes enthalten:</w:t>
      </w:r>
    </w:p>
    <w:p>
      <w:r>
        <w:t>a) das Datum und gegebenenfalls den Zeitpunkt der Produktion und Kontrolle;</w:t>
      </w:r>
    </w:p>
    <w:p>
      <w:r>
        <w:t>b) die Angabe der verwendeten größeren Ausrüstung (z. B. Reaktoren, Trockner, Mühlen, etc.);</w:t>
      </w:r>
    </w:p>
    <w:p>
      <w:r>
        <w:t>c) die spezifische Identifikation jeder Charge, einschließlich Gewichte, Maße und Chargennummern der in der Produktion eingesetzten Rohstoffe, Zwischenprodukte und möglicherweise aufgearbeiteten Materialien;</w:t>
      </w:r>
    </w:p>
    <w:p>
      <w:r>
        <w:t>d) die tatsächlichen Messergebnisse für kritische Prozessparameter;</w:t>
      </w:r>
    </w:p>
    <w:p>
      <w:r>
        <w:t>e) jede erfolgte Probenahme;</w:t>
      </w:r>
    </w:p>
    <w:p>
      <w:r>
        <w:t>f) die Unterschriften der Personen, die die kritischen Betriebsschritte jeweils durchgeführt und direkt überwacht oder überprüft haben;</w:t>
      </w:r>
    </w:p>
    <w:p>
      <w:r>
        <w:t>g) die Inprozess- und Labortestergebnisse;</w:t>
      </w:r>
    </w:p>
    <w:p>
      <w:r>
        <w:t>h) die Ausbeute in geeigneten Phasen oder zu geeigneten Zeitpunkten;</w:t>
      </w:r>
    </w:p>
    <w:p>
      <w:r>
        <w:t>i) die Beschreibung der Verpackung und der Etikettierung des Wirkstoffs oder seines Zwischenprodukts;</w:t>
      </w:r>
    </w:p>
    <w:p>
      <w:r>
        <w:t>j) ein repräsentatives Etikett des Wirkstoffs oder seines Zwischenprodukts, wenn dieser/dieses in den Handel gebracht wird;</w:t>
      </w:r>
    </w:p>
    <w:p>
      <w:r>
        <w:t>k) jede Abweichung von den Verfahren und Anweisungen oder jedes ungewöhnliche Ereignis, das die Herstellung oder Prüfung des Wirkstoffs beeinträchtigen kann, deren Bewertung, Untersuchung (falls zutreffend) oder — bei separater Lagerung — einen Verweis auf eine derartige Untersuchung;</w:t>
      </w:r>
    </w:p>
    <w:p>
      <w:r>
        <w:t>l) die Ergebnisse der Freigabeprüfung.</w:t>
      </w:r>
    </w:p>
    <w:p>
      <w:r>
        <w:t>(3) Für die Untersuchung kritischer Abweichungen von den Verfahren und Anweisungen oder jedes unüblichen Ereignisses, das die Herstellung oder Prüfung des Wirkstoffs beeinträchtigen kann, oder für den Fall, dass eine Charge des Wirkstoffs oder seines Zwischenprodukts die Spezifikationen nicht erfüllt, sind schriftliche Verfahren festzulegen und einzuhalten. Die Untersuchung ist auf weitere Chargen auszudehnen, die von dieser Abweichung oder Nicht-Erfüllung betroffen sein können.</w:t>
      </w:r>
    </w:p>
    <w:p>
      <w:pPr>
        <w:pStyle w:val="Heading2"/>
      </w:pPr>
      <w:r>
        <w:t>Artikel 27 Protokolle über Laborkontrollen</w:t>
      </w:r>
    </w:p>
    <w:p>
      <w:r>
        <w:t>(1) Für jeden Wirkstoff sind Protokolle über die Laborkontrollen zu erstellen. Diese Protokolle über Laborkontrollen müssen die vollständigen Daten aller zur Sicherstellung der Einhaltung der festgelegten Spezifikationen und Standards durchgeführten Tests einschließlich (physikalischer) Prüfungen und (chemischer) Bestimmungen enthalten, und insbesondere folgende Elemente:</w:t>
      </w:r>
    </w:p>
    <w:p>
      <w:r>
        <w:t>a) eine Beschreibung der zur Prüfung erhaltenen Proben, einschließlich der Bezeichnung oder der Herkunft des Materials, der Chargennummer oder eines anderen unverwechselbaren Codes, des Datums der Probenahme und gegebenenfalls der Menge und des Datums, an dem die Probe zur Prüfung einging;</w:t>
      </w:r>
    </w:p>
    <w:p>
      <w:r>
        <w:t>b) eine Beschreibung aller verwendeten Prüfmethoden oder einen Verweis darauf;</w:t>
      </w:r>
    </w:p>
    <w:p>
      <w:r>
        <w:t>c) Angaben zu Gewicht oder Maß der Probe, die für den jeweiligen Test gemäß den Vorgaben der Prüfmethode verwendet wurde; Daten zur Herstellung und Prüfung von Referenzstandards, Reagenzien und Standardlösungen oder Querverweise darauf;</w:t>
      </w:r>
    </w:p>
    <w:p>
      <w:r>
        <w:t>d) eine vollständige Aufzeichnung sämtlicher während der einzelnen Tests erzeugten Rohdaten, zusätzlich zu Grafiken, Tabellen und Spektren aus Laborinstrumenten, auf denen ordnungsgemäß angegeben ist, um welches spezifische Material und welche geprüfte Charge es sich handelt;</w:t>
      </w:r>
    </w:p>
    <w:p>
      <w:r>
        <w:t>e) eine Aufzeichnung aller im Zusammenhang mit dem Test vorgenommenen Berechnungen, einschließlich z. B. der Maßeinheiten, Umrechnungsfaktoren und Äquivalenzfaktoren;</w:t>
      </w:r>
    </w:p>
    <w:p>
      <w:r>
        <w:t>f) eine Darlegung der Testergebnisse und ihres Vergleichs mit den festgelegten Akzeptanzkriterien;</w:t>
      </w:r>
    </w:p>
    <w:p>
      <w:r>
        <w:t>g) die Unterschrift der Person, die den jeweiligen Test durchgeführt hat sowie die Daten der Prüfung;</w:t>
      </w:r>
    </w:p>
    <w:p>
      <w:r>
        <w:t>h) das Datum und die Unterschrift einer zweiten Person als Nachweis, dass die Originalprotokolle auf Richtigkeit, Vollständigkeit und Einhaltung der festgelegten Standards hin überprüft wurden.</w:t>
      </w:r>
    </w:p>
    <w:p>
      <w:r>
        <w:t>(2) Die Protokolle über Laborkontrollen müssen auch vollständige Aufzeichnungen über Folgendes enthalten:</w:t>
      </w:r>
    </w:p>
    <w:p>
      <w:r>
        <w:t>a) sämtliche Modifikationen einer festgelegten Prüfmethode;</w:t>
      </w:r>
    </w:p>
    <w:p>
      <w:r>
        <w:t>b) periodische Kalibrierungen der Laborinstrumente, Apparate, Mess- und Aufzeichnungsgeräte;</w:t>
      </w:r>
    </w:p>
    <w:p>
      <w:r>
        <w:t>c) alle an Wirkstoffen vorgenommenen Stabilitätstests;</w:t>
      </w:r>
    </w:p>
    <w:p>
      <w:r>
        <w:t>d) Untersuchungen zu Ergebnissen außerhalb der Spezifikation (Out Of Specification — OOS).</w:t>
      </w:r>
    </w:p>
    <w:p>
      <w:pPr>
        <w:pStyle w:val="Heading2"/>
      </w:pPr>
      <w:r>
        <w:t>Artikel 28 Überprüfung der Protokolle über die Chargenproduktion und Laborkontrolle</w:t>
      </w:r>
    </w:p>
    <w:p>
      <w:r>
        <w:t>(1) Für die Überprüfung und Genehmigung der in Artikel 26 genannten Chargenproduktionsprotokolle und der in Artikel 27 genannten Protokolle über Laborkontrollen sind schriftliche Verfahren festzulegen und einzuhalten, damit vor der Freigabe einer Charge sichergestellt ist, dass ein Wirkstoff oder dessen Zwischenprodukt die festgelegten Spezifikationen einhält.</w:t>
      </w:r>
    </w:p>
    <w:p>
      <w:r>
        <w:t>(2) Protokolle über die Chargenproduktion und Laborkontrolle nicht kritischer Prozessschritte können von qualifiziertem Produktionspersonal oder anderen Abteilungen überprüft werden, sofern sie Verfahren befolgen, die von der Qualitätsabteilung genehmigt wurden.</w:t>
      </w:r>
    </w:p>
    <w:p>
      <w:r>
        <w:t>(3) Alle Abweichungen, Untersuchungen und OOS-Berichte sind vor der Freigabe einer Charge als Teil der allgemeinen Überprüfung des Chargenprotokolls zu überprüfen.</w:t>
      </w:r>
    </w:p>
    <w:p>
      <w:r>
        <w:t>(4) Die Qualitätsabteilung darf der Produktionsabteilung die Verantwortung und Vollmacht für die Freigabe von Zwischenprodukten übertragen, ausgenommen bei Zwischenprodukten, die den Kontrollbereich des Herstellers verlassen.</w:t>
      </w:r>
    </w:p>
    <w:p>
      <w:pPr>
        <w:pStyle w:val="Heading1"/>
      </w:pPr>
      <w:r>
        <w:t>KAPITEL VII MATERIALMANAGEMENT</w:t>
      </w:r>
    </w:p>
    <w:p>
      <w:pPr>
        <w:pStyle w:val="Heading2"/>
      </w:pPr>
      <w:r>
        <w:t>Artikel 29 Umgang mit Materialien</w:t>
      </w:r>
    </w:p>
    <w:p>
      <w:r>
        <w:t>(1) Der Umgang mit Materialien, einschließlich Aspekten im Zusammenhang mit Wareneingang, Identifizierung, Quarantäne, Lagerung, Handhabung, Probenahme, Prüfung und Genehmigung oder Zurückweisung hat in Übereinstimmung mit schriftlich festgelegten Verfahren oder Anweisungen zu erfolgen und ist gegebenenfalls zu protokollieren.</w:t>
      </w:r>
    </w:p>
    <w:p>
      <w:r>
        <w:t>(2) Lieferanten von Materialien, die bei der Herstellung des Wirkstoffs verwendet werden, müssen von der Qualitätsabteilung zugelassen werden, nachdem sie deren Eignung geprüft hat. Bei kritischen Materialien ist eine Lieferantenqualifizierung zu verlangen. Der Grad der Überwachung muss im Verhältnis zu den von den einzelnen Materialien ausgehenden Risiken stehen.</w:t>
      </w:r>
    </w:p>
    <w:p>
      <w:r>
        <w:t>(3) Alle Materialien sind nach den einschlägigen Spezifikationen zu beziehen.</w:t>
      </w:r>
    </w:p>
    <w:p>
      <w:r>
        <w:t>(4) Ist der Lieferant eines kritischen Materials nicht gleichzeitig Hersteller des Materials, muss dem Hersteller des Zwischenprodukts oder des Wirkstoffs der Name und die Adresse des Materialherstellers bekannt sein.</w:t>
      </w:r>
    </w:p>
    <w:p>
      <w:r>
        <w:t>(5) Änderungen der Bezugsquelle für kritische Rohmaterialien sind gemäß Kapitel XIII zu behandeln.</w:t>
      </w:r>
    </w:p>
    <w:p>
      <w:pPr>
        <w:pStyle w:val="Heading2"/>
      </w:pPr>
      <w:r>
        <w:t>Artikel 30 Wareneingang und Quarantäne eingehender Materialien</w:t>
      </w:r>
    </w:p>
    <w:p>
      <w:r>
        <w:t>(1) Beim Wareneingang ist jedes Behältnis oder jede Gruppe von Behältnissen mit Material visuell auf korrekte Kennzeichnung (einschließlich der Entsprechung der Lieferanten- und der Herstellerbezeichnung, sofern sie sich unterscheiden) zu untersuchen.</w:t>
      </w:r>
    </w:p>
    <w:p>
      <w:r>
        <w:t>(2) Schäden an Behältnissen und alle anderen Probleme (Hinweis auf eine Manipulation des Siegels oder Hinweis auf Verletzung der Unversehrtheit der Verpackung), die die Materialqualität beeinträchtigen können, sind zu untersuchen.</w:t>
      </w:r>
    </w:p>
    <w:p>
      <w:r>
        <w:t>(3) Eingehende Materialien sind sofort nach Eingang durch getrennte Lagerung oder durch geeignete administrative Maßnahmen in Quarantäne zu halten, bis eine verantwortliche Person sie nach Überprüfung ihrer Übereinstimmung mit den relevanten Spezifikationen freigibt.</w:t>
      </w:r>
    </w:p>
    <w:p>
      <w:r>
        <w:t>(4) Bevor eingehende Materialien mit vorhandenen Beständen (z. B. Lösungsmittel oder Silovorräte) gemischt werden, sind sie als korrekt zu identifizieren und falls erforderlich zu prüfen sowie freizugeben. Es müssen Verfahren bestehen, die eine falsche Einordnung in die vorhandenen Bestände verhindern.</w:t>
      </w:r>
    </w:p>
    <w:p>
      <w:r>
        <w:t>(5) Werden Bulk-Lieferungen in Mehrzweck-Tanks zugestellt, ist zu gewährleisten, dass durch den Tank keine Kreuzkontamination entsteht. Diese Gewährleistung kann auf einem oder mehreren der folgenden Wege erbracht werden:</w:t>
      </w:r>
    </w:p>
    <w:p>
      <w:r>
        <w:t>— durch ein Reinigungszertifikat,</w:t>
      </w:r>
    </w:p>
    <w:p>
      <w:r>
        <w:t>— durch Prüfen auf Spuren von Verunreinigungen,</w:t>
      </w:r>
    </w:p>
    <w:p>
      <w:r>
        <w:t>— durch ein Audit des Lieferanten.</w:t>
      </w:r>
    </w:p>
    <w:p>
      <w:r>
        <w:t>(6) Große Behältnisse zur Lagerung und die zugehörigen Rohrverzweigungen, Füll- und Ablassleitungen müssen ordnungsgemäß gekennzeichnet sein.</w:t>
      </w:r>
    </w:p>
    <w:p>
      <w:r>
        <w:t>(7) Jedem Materialbehältnis oder jeder Gruppe von Behältnissen ist ein unverwechselbarer Code oder eine Chargen- oder Eingangsnummer zuzuordnen. Diese Nummer ist in der Aufzeichnung der Verwendung jeder Charge festzuhalten.</w:t>
      </w:r>
    </w:p>
    <w:p>
      <w:r>
        <w:t>(8) Es muss ein System bestehen, mit dessen Hilfe sich im Zuge des Wareneingangs und der Quarantäne der Status jeder Charge bestimmen lässt.</w:t>
      </w:r>
    </w:p>
    <w:p>
      <w:pPr>
        <w:pStyle w:val="Heading2"/>
      </w:pPr>
      <w:r>
        <w:t>Artikel 31 Prüfung eingehender Materialien</w:t>
      </w:r>
    </w:p>
    <w:p>
      <w:r>
        <w:t>(1) An jeder Charge eines Materials ist mindestens ein Identitätstest durchzuführen. Anstelle von Tests darf ein Analysenzertifikat des Lieferanten verwendet werden, sofern der Hersteller über ein System zur Lieferantenbewertung verfügt.</w:t>
      </w:r>
    </w:p>
    <w:p>
      <w:r>
        <w:t>(2) Die Lieferantengenehmigung muss eine Bewertung umfassen, die ausreichende Nachweise (z. B. die bisherige Einhaltung der Anforderungen) dafür erbringt, dass der Hersteller kontinuierlich Material liefert, das die entsprechenden Spezifikationen erfüllt.</w:t>
      </w:r>
    </w:p>
    <w:p>
      <w:r>
        <w:t>(3) Bevor die eigene Prüfung des eingehenden Materials begrenzt wird, ist an mindestens drei Chargen dieses Materials eine Vollanalyse durchzuführen. Eine solche Vollanalyse ist in angemessenen Zeitabständen durchzuführen und mit dem Analysenzertifikat zu vergleichen.</w:t>
      </w:r>
    </w:p>
    <w:p>
      <w:r>
        <w:t>(4) Die Zuverlässigkeit von Analysenzertifikaten ist in regelmäßigen Abständen zu prüfen.</w:t>
      </w:r>
    </w:p>
    <w:p>
      <w:r>
        <w:t>(5) Verarbeitungshilfsstoffe, gefährliche oder hoch toxische Rohstoffe und andere besondere Materialien oder Materialien, die in andere Abteilungen unter der Kontrolle des Herstellers transferiert werden, brauchen abweichend von Absatz 1 nicht getestet zu werden, wenn das Analysenzertifikat des Herstellers vorliegt und zeigt, dass diese Rohstoffe den festgelegten Spezifikationen entsprechen. Die Identität dieser Materialien kann unter anderem durch eine visuelle Prüfung der Behältnisse und Etiketten sowie eine Aufzeichnung der Chargennummern festgestellt werden. Ein Unterbleiben der vor Ort-Prüfung dieser Materialien muss begründet und dokumentiert werden.</w:t>
      </w:r>
    </w:p>
    <w:p>
      <w:pPr>
        <w:pStyle w:val="Heading2"/>
      </w:pPr>
      <w:r>
        <w:t>Artikel 32 Beprobung eingehender Materialien</w:t>
      </w:r>
    </w:p>
    <w:p>
      <w:r>
        <w:t>(1) Das mit der Probenahme betraute Personal ist hinsichtlich der Techniken und der Ausrüstung für die Probenahme, der Risiken einer Kreuzkontamination, der bei instabilen oder sterilen Stoffen zu treffenden Vorsichtsmaßnahmen, der erforderlichen Aufzeichnung unerwarteter oder ungewöhnlicher Umstände sowie anderer für die Durchführung der Probenahmeverfahren relevanter Aspekte zu schulen.</w:t>
      </w:r>
    </w:p>
    <w:p>
      <w:r>
        <w:t>(2) Die Proben müssen für die beprobte Materialcharge repräsentativ sein. Die Probenahme muss nach schriftlichen Verfahren erfolgen, in denen mindestens Folgendes ausgeführt wird:</w:t>
      </w:r>
    </w:p>
    <w:p>
      <w:r>
        <w:t>a) die Anzahl der zu beprobenden Behältnisse,</w:t>
      </w:r>
    </w:p>
    <w:p>
      <w:r>
        <w:t>b) welcher Teil des Behältnisses zu beproben ist,</w:t>
      </w:r>
    </w:p>
    <w:p>
      <w:r>
        <w:t>c) die Probenmenge, die aus jedem Behältnis zu entnehmen ist.</w:t>
      </w:r>
    </w:p>
    <w:p>
      <w:r>
        <w:t>(3) Die Anzahl der zu beprobenden Behältnisse und die Probengröße müssen auf einem Probenahmeplan basieren, in dem folgende Aspekte berücksichtigt werden:</w:t>
      </w:r>
    </w:p>
    <w:p>
      <w:r>
        <w:t>a) wie kritisch das eingehenden Material ist,</w:t>
      </w:r>
    </w:p>
    <w:p>
      <w:r>
        <w:t>b) wie variabel das eingehende Material ist,</w:t>
      </w:r>
    </w:p>
    <w:p>
      <w:r>
        <w:t>c) bisherige Einhaltung der Anforderungen durch den Lieferanten,</w:t>
      </w:r>
    </w:p>
    <w:p>
      <w:r>
        <w:t>d) die für die Analyse erforderliche Probemenge.</w:t>
      </w:r>
    </w:p>
    <w:p>
      <w:r>
        <w:t>(4) Die Probenahme muss an definierten Stellen und mithilfe von Verfahren stattfinden, die eine Kontamination des beprobten Materials sowie anderer Materialien verhindern.</w:t>
      </w:r>
    </w:p>
    <w:p>
      <w:r>
        <w:t>(5) Behältnisse, die beprobt werden, sind vorsichtig zu öffnen und im Anschluss wieder zu verschließen. Sie sind zu markieren, um anzuzeigen, dass sie beprobt wurden.</w:t>
      </w:r>
    </w:p>
    <w:p>
      <w:r>
        <w:t>(6) Die Probenbehältnisse müssen Etiketten tragen, auf denen der Inhalt, die Chargennummer, das Datum der Probenahme und die beprobten Behältnisse angegeben sind.</w:t>
      </w:r>
    </w:p>
    <w:p>
      <w:pPr>
        <w:pStyle w:val="Heading2"/>
      </w:pPr>
      <w:r>
        <w:t>Artikel 33 Nachbewertung von Materialien</w:t>
      </w:r>
    </w:p>
    <w:p>
      <w:r>
        <w:t>Alle Materialien sind gegebenenfalls nachzubewerten, um ihre Eignung für den Gebrauch festzustellen (z. B. nach längerer Lagerung oder Exposition gegenüber Hitze oder Feuchtigkeit).</w:t>
      </w:r>
    </w:p>
    <w:p>
      <w:pPr>
        <w:pStyle w:val="Heading1"/>
      </w:pPr>
      <w:r>
        <w:t>KAPITEL VIII PRODUKTION UND INPROZESSKONTROLLEN</w:t>
      </w:r>
    </w:p>
    <w:p>
      <w:pPr>
        <w:pStyle w:val="Heading2"/>
      </w:pPr>
      <w:r>
        <w:t>Artikel 34 Produktionsaktivitäten</w:t>
      </w:r>
    </w:p>
    <w:p>
      <w:r>
        <w:t>(1) Rohstoffe für die Herstellung von Wirkstoffen und Zwischenprodukten sind unter geeigneten Bedingungen, die ihre Eignung für den Verwendungszweck nicht beeinträchtigen, zu verwiegen oder abzumessen.</w:t>
      </w:r>
    </w:p>
    <w:p>
      <w:r>
        <w:t>(2) Waagen und Messgeräte müssen über einen geeigneten Wäge- und Messbereich und eine angemessene Präzision verfügen, um die Genauigkeit der Wiegevorgänge sicherzustellen.</w:t>
      </w:r>
    </w:p>
    <w:p>
      <w:r>
        <w:t>(3) Wird ein Material für den späteren Gebrauch in Produktionsvorgängen unterteilt, muss das Behältnis, in das das Material gefüllt wird, geeignet sein und eine Kennzeichnung erhalten, der die folgenden Informationen zu entnehmen sind:</w:t>
      </w:r>
    </w:p>
    <w:p>
      <w:r>
        <w:t>a) Materialname und/oder Code;</w:t>
      </w:r>
    </w:p>
    <w:p>
      <w:r>
        <w:t>b) Eingangs- oder Kontrollnummer;</w:t>
      </w:r>
    </w:p>
    <w:p>
      <w:r>
        <w:t>c) Gewicht oder Maß des Materials im neuen Behältnis;</w:t>
      </w:r>
    </w:p>
    <w:p>
      <w:r>
        <w:t>d) falls erforderlich das Datum für eine Nachbewertung oder Wiederholungsprüfung.</w:t>
      </w:r>
    </w:p>
    <w:p>
      <w:r>
        <w:t>(4) Kritische Tätigkeiten, auch Wäge-, Mess- oder Unterteilungsvorgänge, sind von einer zweiten Person zu überprüfen oder einer gleichwertigen Kontrolle zu unterziehen. Vor der Verwendung ist vom Hersteller sicherzustellen, dass seine Produktionsmitarbeiter überprüfen, dass es sich um die Materialien handelt, die im Chargenprotokoll für den herzustellenden Wirkstoff oder dessen Zwischenprodukt angegeben sind.</w:t>
      </w:r>
    </w:p>
    <w:p>
      <w:r>
        <w:t>(5) In bestimmten Schritten des Produktionsprozesses ist die Ist-Ausbeute mit der erwarteten Ausbeute zu vergleichen. Die erwartete Ausbeute einschließlich angemessener Abweichungen ist auf der Grundlage früherer Labor-, Pilotmaßstabs- oder Herstellungsdaten festzulegen. Abweichungen bei der Ausbeute, die mit kritischen Prozessschritten in Verbindung stehen, sind zu untersuchen, um ihre Auswirkung oder potenzielle Auswirkung auf die Qualität der betroffenen Chargen zu bestimmen.</w:t>
      </w:r>
    </w:p>
    <w:p>
      <w:r>
        <w:t>(6) Alle Abweichungen sind zu dokumentieren und zu erklären. Jede kritische Abweichung ist zu untersuchen.</w:t>
      </w:r>
    </w:p>
    <w:p>
      <w:r>
        <w:t>(7) Der Prozessstatus größerer Ausrüstungseinheiten ist entweder an den einzelnen Ausrüstungseinheiten oder durch geeignete Dokumentation, entsprechende Computersteuerungssysteme oder mit anderen Mitteln anzugeben.</w:t>
      </w:r>
    </w:p>
    <w:p>
      <w:r>
        <w:t>(8) Auf- oder umzuarbeitende Materialien sind angemessen zu kontrollierten, um eine unbefugte Verwendung zu verhindern.</w:t>
      </w:r>
    </w:p>
    <w:p>
      <w:pPr>
        <w:pStyle w:val="Heading2"/>
      </w:pPr>
      <w:r>
        <w:t>Artikel 35 Zeitgrenzen</w:t>
      </w:r>
    </w:p>
    <w:p>
      <w:r>
        <w:t>Sind in der Muster-Produktionsanweisung Zeitgrenzen angegeben, sind diese einzuhalten, um die Qualität der Wirkstoffe und ihrer Zwischenprodukte sicherzustellen. Abweichungen von den Zeitgrenzen sind zu dokumentieren und zu bewerten.</w:t>
      </w:r>
    </w:p>
    <w:p>
      <w:pPr>
        <w:pStyle w:val="Heading2"/>
      </w:pPr>
      <w:r>
        <w:t>Artikel 36 Inprozesskontrollen und -probenahmen</w:t>
      </w:r>
    </w:p>
    <w:p>
      <w:r>
        <w:t>(1) Zur Überwachung des Prozessfortschritts und zur Kontrolle des Ablaufs von Prozessschritten, die Qualitätsschwankungen bei Wirkstoffen und ihren Zwischenprodukten verursachen, sind schriftliche Verfahren festzulegen. Inprozesskontrollen und die zugehörigen Akzeptanzkriterien sind anhand der Informationen festzulegen, die während der Entwicklungsphase gesammelt wurden, oder anhand historischer Daten.</w:t>
      </w:r>
    </w:p>
    <w:p>
      <w:r>
        <w:t>(2) Die Akzeptanzkriterien sowie die Art und der Umfang der Prüfungen können von folgenden Faktoren abhängen:</w:t>
      </w:r>
    </w:p>
    <w:p>
      <w:r>
        <w:t>a) der Natur des herzustellenden Zwischenprodukts oder Wirkstoffs,</w:t>
      </w:r>
    </w:p>
    <w:p>
      <w:r>
        <w:t>b) der durchzuführenden Reaktion oder dem durchzuführenden Prozessschritt,</w:t>
      </w:r>
    </w:p>
    <w:p>
      <w:r>
        <w:t>c) dem Ausmaß, in dem der Prozess zu Qualitätsschwankungen beim Wirkstoff oder seinem Zwischenprodukt führt.</w:t>
      </w:r>
    </w:p>
    <w:p>
      <w:r>
        <w:t>(3) Während in früheren Prozessschritten weniger strenge Inprozesskontrollen sinnvoll sein können, erfordern spätere Prozessschritte (z. B. Isolierungs- und Reinigungsschritte) möglicherweise striktere Kontrollen.</w:t>
      </w:r>
    </w:p>
    <w:p>
      <w:r>
        <w:t>(4) Kritische Inprozesskontrollen und eine kritische Prozessüberwachung einschließlich der Kontrollpunkte und -methoden sind schriftlich festzuhalten und von der Qualitätsabteilung zu genehmigen.</w:t>
      </w:r>
    </w:p>
    <w:p>
      <w:r>
        <w:t>(5) Inprozesskontrollen dürfen von qualifiziertem Personal der Produktionsabteilung vorgenommen werden. Der Prozess darf ohne die vorherige Genehmigung durch die Qualitätsabteilung angepasst werden, sofern diese Anpassungen innerhalb festgelegter, von der Qualitätsabteilung genehmigter Grenzen erfolgen. Alle Prüfungen und deren Ergebnisse sind als Teil des Chargenprotokolls umfassend zu dokumentieren.</w:t>
      </w:r>
    </w:p>
    <w:p>
      <w:r>
        <w:t>(6) Die Probenahmemethoden für Inprozess-Materialien, Zwischenprodukte und Wirkstoffe sind in schriftlichen Verfahren zu beschreiben. Diese Verfahren sind so zu gestalten, dass sie eine Kontamination des beprobten Materials und anderer Zwischenprodukte oder Wirkstoffe verhindern. Es sind Verfahren einzuführen, die die Unversehrtheit der Proben nach ihrer Entnahme sicherstellen.</w:t>
      </w:r>
    </w:p>
    <w:p>
      <w:r>
        <w:t>(7) Liegen Testergebnisse außerhalb der Spezifikation (OOS), sind Untersuchungen durchzuführen.</w:t>
      </w:r>
    </w:p>
    <w:p>
      <w:r>
        <w:t>(8) Abweichend von Absatz 7 sind Untersuchungen zu Testergebnissen außerhalb der Spezifikation (OOS) für Inprozessprüfungen, die zum Zweck der Prozessüberwachung und/ oder -anpassung erfolgen, nicht erforderlich.</w:t>
      </w:r>
    </w:p>
    <w:p>
      <w:pPr>
        <w:pStyle w:val="Heading2"/>
      </w:pPr>
      <w:r>
        <w:t>Artikel 37 Mischen (Verschneiden) von Zwischenprodukt- oder Wirkstoffchargen</w:t>
      </w:r>
    </w:p>
    <w:p>
      <w:r>
        <w:t>(1) Chargen, die die Spezifikation nicht erfüllen (OOS), dürfen nicht mit anderen Chargen gemischt werden, damit sie die Spezifikation erfüllen.</w:t>
      </w:r>
    </w:p>
    <w:p>
      <w:r>
        <w:t>(2) Jede einer Mischung hinzugefügte Charge muss:</w:t>
      </w:r>
    </w:p>
    <w:p>
      <w:r>
        <w:t>a) nach einem definierten Prozess hergestellt worden sein sowie</w:t>
      </w:r>
    </w:p>
    <w:p>
      <w:r>
        <w:t>b) vor dem Mischen einzeln getestet worden sein und nachweislich innerhalb der entsprechenden Spezifikationen liegen.</w:t>
      </w:r>
    </w:p>
    <w:p>
      <w:r>
        <w:t>(3) Zu den zulässigen Mischvorgängen gehört:</w:t>
      </w:r>
    </w:p>
    <w:p>
      <w:r>
        <w:t>a) das Mischen kleiner Chargen, um die Chargengröße zu erhöhen,</w:t>
      </w:r>
    </w:p>
    <w:p>
      <w:r>
        <w:t>b) das Mischen von Nachläufen (d. h. relativ kleinen Mengen isolierten Materials) aus Chargen desselben Zwischenprodukts oder Wirkstoffs, um eine einzige Charge zu bilden.</w:t>
      </w:r>
    </w:p>
    <w:p>
      <w:r>
        <w:t>(4) Mischprozesse sind ordnungsgemäß zu kontrollieren und zu dokumentieren, und die gemischte Charge ist, wenn nötig, auf Einhaltung der festgelegten Spezifikationen zu prüfen.</w:t>
      </w:r>
    </w:p>
    <w:p>
      <w:r>
        <w:t>(5) Das Chargenprotokoll des Mischprozesses muss eine Rückverfolgung bis zu den einzelnen Chargen, aus denen die Mischung besteht, erlauben.</w:t>
      </w:r>
    </w:p>
    <w:p>
      <w:r>
        <w:t>(6) In Fällen, in denen die physikalischen Eigenschaften des Wirkstoffs kritisch sind (z. B. bei Wirkstoffen, die für feste orale Darreichungsformen oder Suspensionen vorgesehen sind), sind die Mischvorgänge zu validieren, damit die gemischte Charge nachweislich homogen ist. Die Validierung muss eine Prüfung der kritischen Eigenschaften (z. B. der Korngrößenverteilung, Schütt- und Stampfdichte), die vom Mischprozess beeinflusst werden könnten, umfassen.</w:t>
      </w:r>
    </w:p>
    <w:p>
      <w:r>
        <w:t>(7) Kann das Mischen die Stabilität beeinträchtigen, ist eine Stabilitätsprüfung der endgültigen, gemischten Chargen durchzuführen.</w:t>
      </w:r>
    </w:p>
    <w:p>
      <w:r>
        <w:t>(8) Für das Verfalls- oder das Wiederholungsprüfungsdatum der gemischten Charge ist das Herstellungsdatum des ältesten Nachlaufs bzw. der ältesten Charge in der Mischung maßgeblich.</w:t>
      </w:r>
    </w:p>
    <w:p>
      <w:pPr>
        <w:pStyle w:val="Heading2"/>
      </w:pPr>
      <w:r>
        <w:t>Artikel 38 Kontaminationskontrolle</w:t>
      </w:r>
    </w:p>
    <w:p>
      <w:r>
        <w:t>(1) Die Übertragung von Materialresten darf nicht dazu führen, dass Abbauprodukte oder eine mikrobielle Kontamination, die das festgelegte Verunreinigungsprofil des Wirkstoffs beeinträchtigen können, eingebracht werden.</w:t>
      </w:r>
    </w:p>
    <w:p>
      <w:r>
        <w:t>(2) Produktionsaktivitäten sind so durchzuführen, dass eine Kontamination der Wirkstoffe oder ihrer Zwischenprodukte durch andere Materialien verhindert wird.</w:t>
      </w:r>
    </w:p>
    <w:p>
      <w:r>
        <w:t>(3) Für die Handhabung von Wirkstoffen nach der Reinigung sind Vorsichtsmaßnahmen zur Vermeidung von Kontamination zu ergreifen.</w:t>
      </w:r>
    </w:p>
    <w:p>
      <w:pPr>
        <w:pStyle w:val="Heading1"/>
      </w:pPr>
      <w:r>
        <w:t>KAPITEL IX VERPACKUNG UND ETIKETTIERUNG</w:t>
      </w:r>
    </w:p>
    <w:p>
      <w:pPr>
        <w:pStyle w:val="Heading2"/>
      </w:pPr>
      <w:r>
        <w:t>Artikel 39 Allgemeine Anforderungen an die Verpackung und Etikettierung</w:t>
      </w:r>
    </w:p>
    <w:p>
      <w:r>
        <w:t>(1) Für die Entgegennahme, Identifikation, Quarantäne, Probenahme, Untersuchung oder Prüfung, Freigabe und die Handhabung von Verpackungs- und Etikettierungsmaterialien sind schriftliche Verfahren einzuführen.</w:t>
      </w:r>
    </w:p>
    <w:p>
      <w:r>
        <w:t>(2) Die Verpackungs- und Etikettierungsmaterialien müssen festgelegten Spezifikationen entsprechen. Verpackungs- und Etikettierungsmaterialien, die die Spezifikationen nicht erfüllen, sind zurückzuweisen, um ihre Verwendung für Vorgänge, für die sie ungeeignet sind, zu verhindern.</w:t>
      </w:r>
    </w:p>
    <w:p>
      <w:pPr>
        <w:pStyle w:val="Heading2"/>
      </w:pPr>
      <w:r>
        <w:t>Artikel 40 Behältnisse</w:t>
      </w:r>
    </w:p>
    <w:p>
      <w:r>
        <w:t>(1) Die Behältnisse müssen ausreichenden Schutz gegen Verderb oder Kontamination der Wirkstoffe oder ihrer Zwischenprodukte bieten, die während des Transports und der Lagerung auftreten können.</w:t>
      </w:r>
    </w:p>
    <w:p>
      <w:r>
        <w:t>(2) Die Behältnisse müssen sauber und, sofern dies aufgrund der Beschaffenheit der Wirkstoffe oder ihrer Zwischenprodukte angezeigt ist, sanitisiert sein, damit ihre Eignung für den Verwendungszweck sichergestellt ist. Diese Behältnisse dürfen sich nicht reaktiv, additiv oder absorptiv verhalten, und dadurch die Qualität der Wirkstoffe oder ihrer Zwischenprodukte über die festgelegten Grenzwerte hinaus verändern.</w:t>
      </w:r>
    </w:p>
    <w:p>
      <w:r>
        <w:t>(3) Werden Behältnisse wiederverwendet, sind sie gemäß dokumentierten Verfahren zu reinigen und alle alten Etiketten sind zu entfernen oder unlesbar zu machen.</w:t>
      </w:r>
    </w:p>
    <w:p>
      <w:pPr>
        <w:pStyle w:val="Heading2"/>
      </w:pPr>
      <w:r>
        <w:t>Artikel 41 Ausgabe von Etiketten und Kontrolle</w:t>
      </w:r>
    </w:p>
    <w:p>
      <w:r>
        <w:t>(1) Der Zugang zu den Lagerbereichen für Etiketten ist auf autorisiertes Personal zu beschränken.</w:t>
      </w:r>
    </w:p>
    <w:p>
      <w:r>
        <w:t>(2) Es sind Verfahren für den mengenmäßigen Abgleich der ausgegebenen, verwendeten und zurückgegebenen Etiketten sowie für die Bewertung festgestellter Abweichungen zwischen der Zahl der etikettierten Behältnisse und der Zahl der ausgegebenen Etiketten anzuwenden. Derartige Abweichungen sind zu untersuchen und diese Untersuchungen sind von der Qualitätsabteilung zu genehmigen.</w:t>
      </w:r>
    </w:p>
    <w:p>
      <w:r>
        <w:t>(3) Alle überschüssigen Etiketten, die mit Chargennummern oder anderen chargenbezogenen Aufdrucken versehen sind, sind zu vernichten. Zurückgegebene Etiketten sind aufzubewahren und so zu lagern, dass für die richtige Identifizierung gesorgt ist und ein Vertauschen von Etiketten verhindert wird.</w:t>
      </w:r>
    </w:p>
    <w:p>
      <w:r>
        <w:t>(4) Überholte und veraltete Etiketten sind zu vernichten und die Entsorgung ist zu protokollieren.</w:t>
      </w:r>
    </w:p>
    <w:p>
      <w:r>
        <w:t>(5) Drucker für den Druck von Etiketten für Verpackungsvorgänge sind zu kontrollieren, damit alle Aufdrucke den Druckvorgaben des Protokolls über die Chargenproduktion entsprechen.</w:t>
      </w:r>
    </w:p>
    <w:p>
      <w:r>
        <w:t>(6) Gedruckte, für eine bestimmte Charge ausgegebene Etiketten sind sorgfältig auf richtige Identität und Übereinstimmung mit den Spezifikationen im Muster-Produktionsbericht zu überprüfen. Die Ergebnisse dieser Überprüfung sind zu dokumentieren.</w:t>
      </w:r>
    </w:p>
    <w:p>
      <w:r>
        <w:t>(7) Eines der gedruckten Etiketten, die für die betreffende Charge verwendet werden, ist in das Chargenproduktionsprotokoll aufzunehmen.</w:t>
      </w:r>
    </w:p>
    <w:p>
      <w:pPr>
        <w:pStyle w:val="Heading2"/>
      </w:pPr>
      <w:r>
        <w:t>Artikel 42 Verpackungs- und Etikettiervorgänge</w:t>
      </w:r>
    </w:p>
    <w:p>
      <w:r>
        <w:t>(1) Es sind dokumentierte Verfahren einzuführen, die dafür sorgen, dass die richtigen Verpackungsmaterialien und Etiketten verwendet werden.</w:t>
      </w:r>
    </w:p>
    <w:p>
      <w:r>
        <w:t>(2) Eine Vertauschung von Verpackungsmaterial oder Etiketten ist durch geeignete Maßnahmen zu verhindern. Vorgänge, an denen andere Zwischenprodukte oder Wirkstoffe beteiligt sind, sind physisch oder räumlich voneinander zu trennen.</w:t>
      </w:r>
    </w:p>
    <w:p>
      <w:r>
        <w:t>(3) Etiketten, die für Zwischenprodukt- oder Wirkstoffbehältnisse verwendet werden, müssen die Bezeichnung oder den Identifikationscode, die Chargennummer des Produkts und, sofern diese Information für die Sicherstellung der Qualität des Wirkstoffs oder seiner Zwischenprodukte kritisch ist, die Lagerungsbedingungen anzeigen.</w:t>
      </w:r>
    </w:p>
    <w:p>
      <w:r>
        <w:t>(4) Soll ein Zwischenprodukt oder Wirkstoff die Kontrolle des Herstellers verlassen, sind der Name und die Anschrift des Herstellers, die Inhaltsmengen, besondere Transportbedingungen sowie etwaige gesetzliche Vorgaben ebenfalls auf dem Etikett anzugeben. Bei Zwischenprodukten oder Wirkstoffen mit einem Verfallsdatum ist das Verfallsdatum auf dem Etikett und dem Analysenzertifikat anzugeben. Bei Zwischenprodukten oder Wirkstoffen mit einem Wiederholungsprüfungsdatum ist das Wiederholungsprüfungsdatum auf dem Etikett und dem Analysenzertifikat anzugeben.</w:t>
      </w:r>
    </w:p>
    <w:p>
      <w:r>
        <w:t>(5) Der Verpackung und Etikettierung dienende Räumlichkeiten sind direkt vor Gebrauch daraufhin zu inspizieren, dass sämtliche Materialien, die für den nächsten Verpackungsvorgang nicht benötigt werden, entfernt wurden. Diese Untersuchung ist in den Protokollen über die Chargenproduktion, dem Anlagenlogbuch oder einem anderen Dokumentationssystem zu dokumentieren.</w:t>
      </w:r>
    </w:p>
    <w:p>
      <w:r>
        <w:t>(6) Verpackte und etikettierte Zwischenprodukte oder Wirkstoffe sind zu überprüfen, damit alle Behältnisse und Verpackungen einer Charge das richtige Etikett tragen. Diese Überprüfung muss Teil des Verpackungsvorgangs sein. Die Ergebnisse dieser Überprüfungen sind im Chargenproduktions- oder -prüfprotokoll festzuhalten.</w:t>
      </w:r>
    </w:p>
    <w:p>
      <w:r>
        <w:t>(7) Zwischenprodukt- oder Wirkstoffbehältnisse, die aus dem Kontrollbereich des Herstellers heraustransportiert werden, sind so zu versiegeln, dass der Empfänger bei beschädigtem oder fehlendem Siegel davor gewarnt wird, dass der Inhalt verändert worden sein kann.</w:t>
      </w:r>
    </w:p>
    <w:p>
      <w:pPr>
        <w:pStyle w:val="Heading1"/>
      </w:pPr>
      <w:r>
        <w:t>KAPITEL X LAGERUNG UND VERTRIEB</w:t>
      </w:r>
    </w:p>
    <w:p>
      <w:pPr>
        <w:pStyle w:val="Heading2"/>
      </w:pPr>
      <w:r>
        <w:t>Artikel 43 Lagerungsbedingungen und Lagerverfahren</w:t>
      </w:r>
    </w:p>
    <w:p>
      <w:r>
        <w:t>(1) Alle Materialien, die für die Herstellung von Wirkstoffen verwendet werden, sind unter geeigneten Bedingungen (z. B. bei kontrollierter Temperatur und Luftfeuchtigkeit, falls erforderlich) zu lagern und zu handhaben, damit ihre Qualität gewährleistet ist und Abbau, Kontamination und Kreuzkontamination verhindert werden.</w:t>
      </w:r>
    </w:p>
    <w:p>
      <w:r>
        <w:t>(2) Hängt die Stabilität der Materialeigenschaften entscheidend von den Lagerungsbedingungen ab, sind diese Bedingungen zu protokollieren.</w:t>
      </w:r>
    </w:p>
    <w:p>
      <w:r>
        <w:t>(3) Materialien, die in Fibertrommeln, Beuteln oder Kisten aufbewahrt werden, sind nicht auf dem Boden und gegebenenfalls mit ausreichend Abstand zueinander zu lagern, damit eine Reinigung und Inspektion möglich ist.</w:t>
      </w:r>
    </w:p>
    <w:p>
      <w:r>
        <w:t>(4) Die Materialien sind über Zeiträume zu lagern, von denen ihre Qualität nicht beeinträchtigt wird. Die Materialien sind so zu steuern, dass die ältesten Lagerbestände zuerst verbraucht werden.</w:t>
      </w:r>
    </w:p>
    <w:p>
      <w:r>
        <w:t>(5) Bestimmte Materialien können in geeigneten Behältnissen im Freien gelagert werden, sofern ihr Etikett lesbar bleibt und die Behältnisse vor dem Öffnen und der Verwendung ordnungsgemäß gereinigt werden.</w:t>
      </w:r>
    </w:p>
    <w:p>
      <w:r>
        <w:t>(6) Zurückgewiesene Materialien sind im Rahmen eines Quarantänesystems, das eine unbefugte Verwendung für die Herstellung verhindert, zu identifizieren und kontrollieren.</w:t>
      </w:r>
    </w:p>
    <w:p>
      <w:r>
        <w:t>(7) Für die Lagerung von unter Quarantäne stehenden, zurückgewiesenen, zurückgesandten oder zurückgerufenen Materialien sind separate Bereiche zuzuweisen.</w:t>
      </w:r>
    </w:p>
    <w:p>
      <w:pPr>
        <w:pStyle w:val="Heading2"/>
      </w:pPr>
      <w:r>
        <w:t>Artikel 44 Vertriebsverfahren</w:t>
      </w:r>
    </w:p>
    <w:p>
      <w:r>
        <w:t>(1) Wirkstoffe und deren Zwischenprodukte dürfen nur dann zum Vertrieb an Dritte freigegeben werden, wenn sie zuvor von der Qualitätsabteilung freigegeben wurden.</w:t>
      </w:r>
    </w:p>
    <w:p>
      <w:r>
        <w:t>(2) Wirkstoffe und deren Zwischenprodukte dürfen unter Quarantäne an andere, der Kontrolle der Firma unterstehende Bereiche weitergegeben werden, wenn dies von der Qualitätsabteilung genehmigt wurde und angemessene Kontrollen sowie eine entsprechende Dokumentation vorhanden sind.</w:t>
      </w:r>
    </w:p>
    <w:p>
      <w:r>
        <w:t>(3) Wirkstoffe und deren Zwischenprodukte sind so zu transportieren, dass ihre Qualität nicht beeinträchtigt wird.</w:t>
      </w:r>
    </w:p>
    <w:p>
      <w:r>
        <w:t>(4) Spezielle Transport- oder Lagerungsbedingungen für einen Wirkstoff oder ein Zwischenprodukt sind auf dem Etikett anzugeben.</w:t>
      </w:r>
    </w:p>
    <w:p>
      <w:r>
        <w:t>(5) Werden Tätigkeiten gemäß Kapitel XVI ausgelagert, ist vom Hersteller (im Folgenden „Auftraggeber“) sicherzustellen, dass dem Subunternehmer (im Folgenden „Auftragnehmer“) hinreichende Informationen für die Ausführung der ausgelagerten Tätigkeiten übermittelt werden und dass der Auftragnehmer die geeigneten Transport- und Lagerungsbedingungen einhält.</w:t>
      </w:r>
    </w:p>
    <w:p>
      <w:r>
        <w:t>(6) Es muss ein System vorhanden sein, durch das der Vertrieb jeder Charge eines Zwischenprodukts oder Wirkstoffs jederzeit rückverfolgbar ist, sodass ein Rückruf möglich ist.</w:t>
      </w:r>
    </w:p>
    <w:p>
      <w:pPr>
        <w:pStyle w:val="Heading1"/>
      </w:pPr>
      <w:r>
        <w:t>KAPITEL XI LABORKONTROLLEN</w:t>
      </w:r>
    </w:p>
    <w:p>
      <w:pPr>
        <w:pStyle w:val="Heading2"/>
      </w:pPr>
      <w:r>
        <w:t>Artikel 45 Allgemeine Kontrollen</w:t>
      </w:r>
    </w:p>
    <w:p>
      <w:r>
        <w:t>(1) Sämtliche Spezifikationen, Probenahmepläne und Prüfverfahren müssen wissenschaftlich fundiert und geeignet sein, sicherzustellen, dass die Rohmaterialien, Zwischenprodukte, Wirkstoffe, Etiketten und Verpackungsmaterialien den festgelegten Qualitäts- und Reinheitsstandards entsprechen.</w:t>
      </w:r>
    </w:p>
    <w:p>
      <w:r>
        <w:t>(2) Die Spezifikationen und Prüfverfahren müssen den Zulassungsbedingungen entsprechen. Zusätzlich zu den in den Zulassungsbedingungen genannten können weitere Spezifikationen vorliegen.</w:t>
      </w:r>
    </w:p>
    <w:p>
      <w:r>
        <w:t>(3) Spezifikationen, Probenahmepläne und Prüfverfahren, einschließlich deren Änderungen, sind von der zuständigen Organisationseinheit zu erstellen und von der Qualitätsabteilung zu überprüfen und genehmigen.</w:t>
      </w:r>
    </w:p>
    <w:p>
      <w:r>
        <w:t>(4) Für Wirkstoffe sind gemäß akzeptierten Standards und im Einklang mit dem Herstellungsprozess geeignete Spezifikationen festzulegen.</w:t>
      </w:r>
    </w:p>
    <w:p>
      <w:r>
        <w:t>(5) Die Spezifikationen für den Wirkstoff müssen eine Kontrolle auf Verunreinigungen umfassen (z. B. organische Verunreinigungen, anorganische Verunreinigungen und Restlösemittel). Wenn der Wirkstoff eine Spezifikation für mikrobiologische Reinheit hat, sind geeignete Aktionsgrenzen für die Gesamtkeimzahl und unzulässige Organismen festzulegen und einzuhalten. Wenn der Wirkstoff eine Spezifikation für Endotoxine hat, sind geeignete Aktionsgrenzen festzulegen und einzuhalten.</w:t>
      </w:r>
    </w:p>
    <w:p>
      <w:r>
        <w:t>(6) Laborkontrollen sind zu überwachen und zum Zeitpunkt ihrer Durchführung zu dokumentieren.</w:t>
      </w:r>
    </w:p>
    <w:p>
      <w:r>
        <w:t>(7) Es sind Verfahren für die Untersuchung und Dokumentation von Ergebnissen außerhalb der Spezifikation (OOS) einzuführen. Diese Verfahren müssen eine Datenanalyse, eine Bewertung darüber, wie kritisch das Ergebnis außerhalb der Spezifikation ist, eine Aufgabenverteilung für die Abhilfemaßnahmen sowie Schlussfolgerungen erfordern. Erneute Probenahmen oder Wiederholungsprüfungen im Anschluss an außerhalb der Spezifikation liegende Ergebnisse sind gemäß einem dokumentierten Verfahren durchzuführen.</w:t>
      </w:r>
    </w:p>
    <w:p>
      <w:r>
        <w:t>(8) Es sind Verfahren für die Zubereitung von Reagenzien und Standardlösungen sowie deren Kennzeichnung einzuführen. An analytischen Reagenzien und Standardlösungen ist gegebenenfalls ein Verfallsdatum anzubringen.</w:t>
      </w:r>
    </w:p>
    <w:p>
      <w:r>
        <w:t>(9) Primäre Referenzstandards müssen für den vorgesehenen Verwendungszweck geeignet sein. Die Quelle jeden primären Referenzstandards ist zu dokumentieren. Die Lagerung und Verwendung jeden primären Referenzstandards gemäß den Empfehlungen des Lieferanten ist zu protokollieren.</w:t>
      </w:r>
    </w:p>
    <w:p>
      <w:r>
        <w:t>(10) Primäre Referenzstandards, die aus einer amtlich anerkannten Quelle bezogen wurden, dürfen ohne Prüfung verwendet werden, sofern sie unter Bedingungen gelagert werden, die den Empfehlungen des Lieferanten entsprechen.</w:t>
      </w:r>
    </w:p>
    <w:p>
      <w:r>
        <w:t>(11) Ist kein primärer Referenzstandard aus amtlich anerkannter Quelle erhältlich, ist ein „hauseigener primärer Referenzstandard“ zu erstellen. Es sind geeignete Tests durchzuführen, um die Identität und Reinheit des hauseigenen primären Referenzstandards vollständig belegen zu können. Von diesen Tests ist eine angemessene Dokumentation aufzubewahren.</w:t>
      </w:r>
    </w:p>
    <w:p>
      <w:r>
        <w:t>(12) Sekundäre Referenzstandards müssen in geeigneter Weise hergestellt, identifiziert, getestet, genehmigt und gelagert werden. Die Eignung jeder Charge eines sekundären Referenzstandards ist vor dem ersten Gebrauch durch Vergleich mit einem primären Referenzstandard festzustellen. Jede Charge eines sekundären Referenzstandards muss regelmäßig nach einem schriftlichen Plan requalifiziert werden.</w:t>
      </w:r>
    </w:p>
    <w:p>
      <w:pPr>
        <w:pStyle w:val="Heading2"/>
      </w:pPr>
      <w:r>
        <w:t>Artikel 46 Tests</w:t>
      </w:r>
    </w:p>
    <w:p>
      <w:r>
        <w:t>(1) Um die Einhaltung der Spezifikationen zu überprüfen, sind an jeder Charge eines Wirkstoffs und seiner Zwischenprodukte geeignete Labortests durchzuführen.</w:t>
      </w:r>
    </w:p>
    <w:p>
      <w:r>
        <w:t>(2) Für jeden Wirkstoff muss ein Verunreinigungsprofil erstellt werden, das die vorhandenen identifizierten und unidentifizierten Verunreinigungen in einer typischen, in einem bestimmten kontrollierten Produktionsprozess hergestellten Charge beschreibt. Das Verunreinigungsprofil muss Folgendes beinhalten:</w:t>
      </w:r>
    </w:p>
    <w:p>
      <w:r>
        <w:t>a) die Identität der Verunreinigung oder eine qualitativ-analytische Kennzeichnung (z. B. die Retentionszeit),</w:t>
      </w:r>
    </w:p>
    <w:p>
      <w:r>
        <w:t>b) den Bereich jeder beobachteten Verunreinigung,</w:t>
      </w:r>
    </w:p>
    <w:p>
      <w:r>
        <w:t>c) eine Klassifizierung jeder identifizierten Verunreinigung (z. B. anorganisch, organisch, Lösungsmittel).</w:t>
      </w:r>
    </w:p>
    <w:p>
      <w:r>
        <w:t>(3) Abweichend von Absatz 2 sind Verunreinigungsprofile für Wirkstoffe pflanzlichen Ursprungs oder aus tierischem Gewebe nicht erforderlich.</w:t>
      </w:r>
    </w:p>
    <w:p>
      <w:r>
        <w:t>(4) Das Verunreinigungsprofil ist in geeigneten Abständen mit dem Verunreinigungsprofil in den Zulassungsbedingungen oder mit historischen Daten zu vergleichen, um Veränderungen am Wirkstoff festzustellen, die aus Modifikationen der Ausgangsmaterialien, der Geräteparameter oder des Produktionsprozesses resultieren.</w:t>
      </w:r>
    </w:p>
    <w:p>
      <w:r>
        <w:t>(5) Ist eine bestimmte mikrobielle Qualität spezifiziert, sind entsprechende mikrobiologische Tests an jeder Zwischenprodukt- und Wirkstoffcharge durchzuführen.</w:t>
      </w:r>
    </w:p>
    <w:p>
      <w:pPr>
        <w:pStyle w:val="Heading2"/>
      </w:pPr>
      <w:r>
        <w:t>Artikel 47 Analysenzertifikate</w:t>
      </w:r>
    </w:p>
    <w:p>
      <w:r>
        <w:t>(1) Auf Anfrage ist für jede Zwischenprodukt- oder Wirkstoffcharge ein Analysezertifikat auszustellen.</w:t>
      </w:r>
    </w:p>
    <w:p>
      <w:r>
        <w:t>(2) Das Analysenzertifikat muss mindestens Folgendes enthalten:</w:t>
      </w:r>
    </w:p>
    <w:p>
      <w:r>
        <w:t>a) die Bezeichnung des Zwischenprodukts oder Wirkstoffs, gegebenenfalls einschließlich seiner (Güte-)Klasse,</w:t>
      </w:r>
    </w:p>
    <w:p>
      <w:r>
        <w:t>b) die Chargennummer,</w:t>
      </w:r>
    </w:p>
    <w:p>
      <w:r>
        <w:t>c) das Freigabedatum,</w:t>
      </w:r>
    </w:p>
    <w:p>
      <w:r>
        <w:t>d) das Verfallsdatum für Zwischenprodukte oder Wirkstoffe mit Verfallsdatum,</w:t>
      </w:r>
    </w:p>
    <w:p>
      <w:r>
        <w:t>e) das Wiederholungsprüfungsdatum für Zwischenprodukte oder Wirkstoffe mit Wiederholungsprüfungsdatum,</w:t>
      </w:r>
    </w:p>
    <w:p>
      <w:r>
        <w:t>f) alle gemäß Arzneibuch- oder Kundenanforderungen durchgeführten Tests einschließlich der Akzeptanzgrenzen und gegebenenfalls der erhaltenen numerischen Ergebnisse.</w:t>
      </w:r>
    </w:p>
    <w:p>
      <w:r>
        <w:t>(3) Die Zertifikate müssen von autorisiertem Personal der Qualitätsabteilung datiert und abgezeichnet werden und den Namen, die Anschrift und die Rufnummer des Originalherstellers enthalten.</w:t>
      </w:r>
    </w:p>
    <w:p>
      <w:r>
        <w:t>(4) Wird die Analyse von einer mit der Umverpackung oder Aufarbeitung befassten Einrichtung durchgeführt, so muss das Analysenzertifikat den Namen, die Anschrift und die Rufnummer der mit der Umverpackung oder Aufarbeitung befassten Einrichtung sowie einen Verweis auf den Namen des Originalherstellers enthalten.</w:t>
      </w:r>
    </w:p>
    <w:p>
      <w:r>
        <w:t>(5) Jedes Mal, wenn von einer mit der Umverpackung oder Aufarbeitung befassten Einrichtung oder in deren Namen neue Zertifikate ausgestellt werden, muss in diesen Zertifikaten der Name, die Anschrift und die Rufnummer des Labors angegeben sein, das die Analyse vorgenommen hat. Sie müssen außerdem einen Verweis auf Namen und Anschrift des Originalherstellers sowie auf das Originalchargenzertifikat enthalten, dessen Kopie beizufügen ist.</w:t>
      </w:r>
    </w:p>
    <w:p>
      <w:pPr>
        <w:pStyle w:val="Heading2"/>
      </w:pPr>
      <w:r>
        <w:t>Artikel 48 Fortlaufendes Stabilitätsüberwachungsprogramm</w:t>
      </w:r>
    </w:p>
    <w:p>
      <w:r>
        <w:t>(1) Hersteller müssen ein fortlaufendes Stabilitätsprogramm einführen, um die Stabilitätsdaten von Wirkstoffen zu überwachen. Die Ergebnisse sind für die Bestätigung geeigneter Lagerungsbedingungen und Wiederholungsprüfungs- oder Verfallsdaten zu verwenden.</w:t>
      </w:r>
    </w:p>
    <w:p>
      <w:r>
        <w:t>(2) Die für Stabilitätsstudien verwendeten Prüfverfahren müssen für den Wirkstoff geeignet und validiert sein.</w:t>
      </w:r>
    </w:p>
    <w:p>
      <w:r>
        <w:t>(3) Stabilitätsproben sind in Behältnissen zu lagern, die den Marktbehältnissen nachempfunden sind.</w:t>
      </w:r>
    </w:p>
    <w:p>
      <w:r>
        <w:t>(4) Die ersten drei im Produktionsmaßstab erzeugten Chargen sind dem fortlaufenden Stabilitätsprogramm zu unterziehen, um das Wiederholungsprüfungs- oder Verfallsdatum zu bestätigen.</w:t>
      </w:r>
    </w:p>
    <w:p>
      <w:r>
        <w:t>(5) Abweichend von Absatz 4 dürfen weniger als drei Chargen verwendet werden, wenn Daten aus vorherigen Untersuchungen zeigen, dass der Wirkstoff mindestens zwei Jahre lang stabil bleiben dürfte.</w:t>
      </w:r>
    </w:p>
    <w:p>
      <w:r>
        <w:t>(6) Nachdem die ersten drei im Produktionsmaßstab erzeugten Chargen dem fortlaufenden Stabilitätsprogramm unterzogen wurden, ist jährlich mindestens eine Charge des hergestellten Wirkstoffs in das fortlaufende Stabilitätsprogramm aufzunehmen, es sei denn, es wird in einem bestimmten Jahr keine Charge hergestellt oder eine unterschiedliche Häufigkeit ist anderweitig gerechtfertigt.</w:t>
      </w:r>
    </w:p>
    <w:p>
      <w:r>
        <w:t>(7) Bei Wirkstoffen mit kurzer Haltbarkeit ist die Stabilitätsprüfung häufiger durchzuführen. Existieren Daten, die bestätigen, dass die Stabilität des Wirkstoffs nicht gefährdet ist, kann ein Verzicht auf bestimmte Testintervalle erwogen werden.</w:t>
      </w:r>
    </w:p>
    <w:p>
      <w:r>
        <w:t>(8) Wo dies angezeigt ist, wird die Stabilitätsprüfung von Wirkstoffen gemäß den im Leitfaden „Guidance on stability: stability testing of new veterinary drug substances and medicinal products“ festgelegten Bedingungen durchgeführt.</w:t>
      </w:r>
    </w:p>
    <w:p>
      <w:pPr>
        <w:pStyle w:val="Heading2"/>
      </w:pPr>
      <w:r>
        <w:t>Artikel 49 Festlegung der Daten für die Verfalls- und Wiederholungsprüfung</w:t>
      </w:r>
    </w:p>
    <w:p>
      <w:r>
        <w:t>(1) Soll ein Zwischenprodukt aus dem Kontrollbereich des Herstellers abgegeben werden und ist ihm ein Verfalls- oder Wiederholungsprüfungsdatum zugeordnet, müssen unterstützende Stabilitätsinformationen (z. B. veröffentlichte Daten, Testergebnisse) verfügbar sein.</w:t>
      </w:r>
    </w:p>
    <w:p>
      <w:r>
        <w:t>(2) Als Grundlage für das Verfalls- oder Wiederholungsprüfungsdatum muss eine Bewertung von Daten aus Stabilitätsstudien dienen.</w:t>
      </w:r>
    </w:p>
    <w:p>
      <w:r>
        <w:t>(3) Vorläufige Verfalls- oder Wiederholungsprüfungsdaten für Wirkstoffe dürfen auf Pilotchargengrößen basieren, sofern folgende Voraussetzungen erfüllt sind:</w:t>
      </w:r>
    </w:p>
    <w:p>
      <w:r>
        <w:t>a) die Pilotchargen werden mithilfe einer Herstellungsmethode und eines Verfahrens produziert, die den endgültigen, bei der Fertigung im Produktionsmaßstab anzuwendenden Prozess simulieren;</w:t>
      </w:r>
    </w:p>
    <w:p>
      <w:r>
        <w:t>b) die Qualität des Wirkstoffs ist mit dem im Produktionsmaßstab herzustellenden Material vergleichbar.</w:t>
      </w:r>
    </w:p>
    <w:p>
      <w:pPr>
        <w:pStyle w:val="Heading2"/>
      </w:pPr>
      <w:r>
        <w:t>Artikel 50 Rückstellung von Mustern</w:t>
      </w:r>
    </w:p>
    <w:p>
      <w:r>
        <w:t>(1) Der Zweck der Aufbewahrung von Referenzproben sind mögliche zukünftige Bewertungen der Qualität von Wirkstoffchargen und nicht zukünftige Stabilitätstests.</w:t>
      </w:r>
    </w:p>
    <w:p>
      <w:r>
        <w:t>(2) Referenzproben aus jeder Wirkstoffcharge sind ein Jahr über das Verfallsdatum der Charge oder drei Jahre über den Vertrieb der Charge hinaus aufzubewahren, je nachdem, welcher Zeitraum länger ist.</w:t>
      </w:r>
    </w:p>
    <w:p>
      <w:r>
        <w:t>(3) Bei Wirkstoffen mit Wiederholungsprüfungsdaten sind Referenzproben nach dem vollständigen Vertrieb der Charge durch den Hersteller drei Jahre lang aufzubewahren.</w:t>
      </w:r>
    </w:p>
    <w:p>
      <w:r>
        <w:t>(4) Die Referenzproben sind im gleichen Verpackungssystem, in dem der Wirkstoff gelagert wird, oder in einem gleichwertigen oder besser schützenden als dem vermarkteten Verpackungssystem zu lagern.</w:t>
      </w:r>
    </w:p>
    <w:p>
      <w:r>
        <w:t>(5) Es sind ausreichende Mengen zurückzustellen, um mindestens zwei Vollanalysen gemäß Arzneibuch oder, wenn keine Arzneibuchmonographie existiert, zwei Vollanalysen nach der Spezifikation durchführen zu können.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2025-2154 GMP Wirkstoffe (2 von 3) Kap VI-XI DOKUMENTATION, MATERIALMANAGEMENT</dc:title>
  <dc:subject>Amtsblatt der EU, CELEX 32025R2154, https://eur-lex.europa.eu/legal-content/DE/TXT/?uri=CELEX:32025R2154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