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(10 von 12) Anhang II 1. Identifikation des Arzneimittels, TEIL 4</w:t>
      </w:r>
    </w:p>
    <w:p>
      <w:r>
        <w:t>Quelle: Amtsblatt der EU, CELEX 32019R0006, https://eur-lex.europa.eu/legal-content/DE/TXT/?uri=CELEX:32019R0006</w:t>
      </w:r>
    </w:p>
    <w:p>
      <w:pPr>
        <w:pStyle w:val="Heading1"/>
      </w:pPr>
      <w:r>
        <w:t>ANHANG II (Fortsetzung)</w:t>
      </w:r>
    </w:p>
    <w:p>
      <w:pPr>
        <w:pStyle w:val="Heading2"/>
      </w:pPr>
      <w:r>
        <w:t>1. Identifikation des Arzneimittels</w:t>
      </w:r>
    </w:p>
    <w:p>
      <w:r>
        <w:t>Die bei den Versuchen verwendeten Tierarzneimittel sind anhand folgender Merkmale zu identifizieren:</w:t>
      </w:r>
    </w:p>
    <w:p>
      <w:r>
        <w:t>— Zusammensetzung,</w:t>
      </w:r>
    </w:p>
    <w:p>
      <w:r>
        <w:t>— physikalische und chemische Versuchsergebnisse (Stärke und Reinheit) für die betreffenden Chargen;</w:t>
      </w:r>
    </w:p>
    <w:p>
      <w:r>
        <w:t>— Identifizierung der Charge,</w:t>
      </w:r>
    </w:p>
    <w:p>
      <w:r>
        <w:t>— Beziehung zum Fertigerzeugnis,</w:t>
      </w:r>
    </w:p>
    <w:p>
      <w:r>
        <w:t>— spezifische Aktivität und radiologische Reinheit markierter Stoffe,</w:t>
      </w:r>
    </w:p>
    <w:p>
      <w:r>
        <w:t>— Position markierter Atome im Molekül.</w:t>
      </w:r>
    </w:p>
    <w:p>
      <w:r>
        <w:t>Das Dossier über Rückstandsversuche muss Folgendes umfassen:</w:t>
      </w:r>
    </w:p>
    <w:p>
      <w:r>
        <w:t>— eine Aufstellung aller in das Dossier aufgenommenen Studien,</w:t>
      </w:r>
    </w:p>
    <w:p>
      <w:r>
        <w:t>— eine Erklärung, dass alle dem Antragsteller zum Zeitpunkt der Einreichung bekannten Daten sowohl günstige als auch ungünstige aufgenommen wurden,</w:t>
      </w:r>
    </w:p>
    <w:p>
      <w:r>
        <w:t>— eine Begründung für die etwaige Auslassung eines Studientyps,</w:t>
      </w:r>
    </w:p>
    <w:p>
      <w:r>
        <w:t>— eine Erklärung für die Aufnahme eines alternativen Studientyps,</w:t>
      </w:r>
    </w:p>
    <w:p>
      <w:r>
        <w:t>— eine Erörterung der Frage, inwieweit eine Studie, die noch aus der Zeit vor Einführung der Guten Laborpraxis stammt, für die Gesamtrisikobeurteilung relevant ist,</w:t>
      </w:r>
    </w:p>
    <w:p>
      <w:r>
        <w:t>— ein Vorschlag zur Wartezeit.</w:t>
      </w:r>
    </w:p>
    <w:p>
      <w:r>
        <w:t>Der Studienbericht enthält Folgendes:</w:t>
      </w:r>
    </w:p>
    <w:p>
      <w:r>
        <w:t>— eine Kopie der Studienplanung (Protokoll),</w:t>
      </w:r>
    </w:p>
    <w:p>
      <w:r>
        <w:t>— gegebenenfalls eine Erklärung, dass die Gute Laborpraxis eingehalten wurde,</w:t>
      </w:r>
    </w:p>
    <w:p>
      <w:r>
        <w:t>— eine Beschreibung der angewandten Methoden sowie der verwendeten Geräte und Materialien,</w:t>
      </w:r>
    </w:p>
    <w:p>
      <w:r>
        <w:t>— eine Beschreibung der erzielten Ergebnisse, die so ausführlich sein muss, dass die Ergebnisse unabhängig von ihrer Interpretation durch den Autor kritisch bewertet werden können,</w:t>
      </w:r>
    </w:p>
    <w:p>
      <w:r>
        <w:t>— gegebenenfalls eine statistische Analyse der Ergebnisse,</w:t>
      </w:r>
    </w:p>
    <w:p>
      <w:r>
        <w:t>— eine Erörterung der Ergebnisse,</w:t>
      </w:r>
    </w:p>
    <w:p>
      <w:r>
        <w:t>— eine objektive Erörterung der erzielten Ergebnisse mit Vorschlägen für die erforderlichen Wartezeiten, um sicherzustellen, dass in den von behandelten Tieren stammenden Lebensmitteln keine Rückstände vorhanden sind, die eine Gefahr für den Menschen darstellen könnten.</w:t>
      </w:r>
    </w:p>
    <w:p>
      <w:pPr>
        <w:pStyle w:val="Heading1"/>
      </w:pPr>
      <w:r>
        <w:t>ANHANG II (Fortsetzung)</w:t>
      </w:r>
    </w:p>
    <w:p>
      <w:pPr>
        <w:pStyle w:val="Heading2"/>
      </w:pPr>
      <w:r>
        <w:t>TEIL 4</w:t>
      </w:r>
    </w:p>
    <w:p>
      <w:pPr>
        <w:pStyle w:val="Heading1"/>
      </w:pPr>
      <w:r>
        <w:t>ANHANG II (Fortsetzung)</w:t>
      </w:r>
    </w:p>
    <w:p>
      <w:pPr>
        <w:pStyle w:val="Heading2"/>
      </w:pPr>
      <w:r>
        <w:t>Vorklinische und klinische prüfungen</w:t>
      </w:r>
    </w:p>
    <w:p>
      <w:r>
        <w:t>Die Angaben und Unterlagen, die dem Genehmigungsantrag gemäß Artikel 12 Absatz 3 Buchstabe j dritter Gedankenstrich beizufügen sind, müssen den folgenden Vorschriften entsprechen.</w:t>
      </w:r>
    </w:p>
    <w:p>
      <w:pPr>
        <w:pStyle w:val="Heading1"/>
      </w:pPr>
      <w:r>
        <w:t>ANHANG II (Fortsetzung)</w:t>
      </w:r>
    </w:p>
    <w:p>
      <w:pPr>
        <w:pStyle w:val="Heading2"/>
      </w:pPr>
      <w:r>
        <w:t>Kapitel I</w:t>
      </w:r>
    </w:p>
    <w:p>
      <w:pPr>
        <w:pStyle w:val="Heading1"/>
      </w:pPr>
      <w:r>
        <w:t>ANHANG II (Fortsetzung)</w:t>
      </w:r>
    </w:p>
    <w:p>
      <w:pPr>
        <w:pStyle w:val="Heading2"/>
      </w:pPr>
      <w:r>
        <w:t>Vorklinische vorschriften</w:t>
      </w:r>
    </w:p>
    <w:p>
      <w:r>
        <w:t>Es sind vorklinische Studien erforderlich, um die pharmakologische Aktivität und die Verträglichkeit des Arzneimittels festzustellen.</w:t>
      </w:r>
    </w:p>
    <w:p>
      <w:pPr>
        <w:pStyle w:val="Heading1"/>
      </w:pPr>
      <w:r>
        <w:t>ANHANG II (Fortsetzung)</w:t>
      </w:r>
    </w:p>
    <w:p>
      <w:pPr>
        <w:pStyle w:val="Heading2"/>
      </w:pPr>
      <w:r>
        <w:t>A. PHARMAKOLOGIE</w:t>
      </w:r>
    </w:p>
    <w:p>
      <w:pPr>
        <w:pStyle w:val="Heading1"/>
      </w:pPr>
      <w:r>
        <w:t>ANHANG II (Fortsetzung)</w:t>
      </w:r>
    </w:p>
    <w:p>
      <w:pPr>
        <w:pStyle w:val="Heading2"/>
      </w:pPr>
      <w:r>
        <w:t>A.1. Pharmakodynamik</w:t>
      </w:r>
    </w:p>
    <w:p>
      <w:r>
        <w:t>Die pharmakodynamischen Wirkungen der im Tierarzneimittel enthaltenen Wirkstoffe sind zu charakterisieren.</w:t>
      </w:r>
    </w:p>
    <w:p>
      <w:r>
        <w:t>Zunächst müssen der Wirkungsmechanismus und die pharmakologischen Auswirkungen, auf denen die empfohlene praktische Anwendung basiert, angemessen beschrieben werden. Die Ergebnisse sind quantitativ darzustellen (beispielsweise durch Dosis-Wirkungs-Kurven, Zeit-Wirkungs-Kurven usw.) und sofern möglich durch Vergleich mit einem Stoff, dessen Wirkung gut bekannt ist. Wird für einen Stoff eine stärkere Wirksamkeit behauptet, ist der Unterschied nachzuweisen und aufzuzeigen, dass er statistisch signifikant ist.</w:t>
      </w:r>
    </w:p>
    <w:p>
      <w:r>
        <w:t>Ferner ist eine pharmakologische Gesamtbeurteilung des Wirkstoffes mit besonderem Verweis auf mögliche sekundäre pharmakologische Wirkungen vorzulegen. Generell sind die Wirkungen auf die wichtigsten Körperfunktionen zu untersuchen.</w:t>
      </w:r>
    </w:p>
    <w:p>
      <w:r>
        <w:t>Jeder Einfluss der anderen Eigenschaften des Arzneimittels (wie etwa der Verabreichungsweg oder die Formulierung) auf die pharmakologische Aktivität des Wirkstoffes muss untersucht werden.</w:t>
      </w:r>
    </w:p>
    <w:p>
      <w:r>
        <w:t>Die Untersuchungen sind zu intensivieren, wenn die empfohlene Dosis jene Dosis erreicht, bei der wahrscheinlich Nebenwirkungen auftreten.</w:t>
      </w:r>
    </w:p>
    <w:p>
      <w:r>
        <w:t>Sofern es sich bei den Versuchsmethoden nicht um Standardverfahren handelt, sind sie so genau zu beschreiben, dass sie reproduzierbar sind, und der Versuchsleiter muss ihre Validierung nachweisen. Die Versuchsergebnisse sind klar und deutlich darzulegen und für bestimmte Versuchstypen ist die statistische Signifikanz anzugeben.</w:t>
      </w:r>
    </w:p>
    <w:p>
      <w:r>
        <w:t>Sofern keine stichhaltigen Gegenargumente vorgelegt werden können, ist jede quantitative Änderung von Reaktionen aufgrund wiederholter Verabreichung des Stoffes ebenfalls zu untersuchen.</w:t>
      </w:r>
    </w:p>
    <w:p>
      <w:r>
        <w:t>Fixe Arzneimittelkombinationen können entweder aus pharmakologischen Gründen oder auf klinische Indikation hin verabreicht werden. Im ersten Fall müssen die pharmakodynamischen und/oder pharmakokinetischen Untersuchungen jene Wechselwirkungen nachweisen, die den Wert der Arzneimittelkombination im klinischen Einsatz ausmachen könnten. Im zweiten Fall, in dem eine wissenschaftliche Begründung für die Arzneimittelkombination durch klinische Prüfungen angestrebt wird, ist festzustellen, ob die von der Arzneimittelkombination erwarteten Wirkungen am Tier nachgewiesen werden können, wobei zumindest die Schwere aller Nebenwirkungen zu prüfen ist. Sofern eine Kombination einen neuen Wirkstoff enthält, muss dieser zuvor eingehend untersucht worden sein.</w:t>
      </w:r>
    </w:p>
    <w:p>
      <w:pPr>
        <w:pStyle w:val="Heading1"/>
      </w:pPr>
      <w:r>
        <w:t>ANHANG II (Fortsetzung)</w:t>
      </w:r>
    </w:p>
    <w:p>
      <w:pPr>
        <w:pStyle w:val="Heading2"/>
      </w:pPr>
      <w:r>
        <w:t>A.2. Resistenzentwicklung</w:t>
      </w:r>
    </w:p>
    <w:p>
      <w:r>
        <w:t>Bei Tierarzneimitteln sind gegebenenfalls Angaben über das mögliche Auftreten resistenter Organismen von klinischer Relevanz erforderlich. Dabei ist besonders wichtig, durch welchen Mechanismus sich derartige Resistenzen entwickeln. Der Antragsteller muss Maßnahmen vorschlagen, durch die sich die Entwicklung einer Resistenz gegen den Verwendungszweck des Tierarzneimittels begrenzen lässt.</w:t>
      </w:r>
    </w:p>
    <w:p>
      <w:r>
        <w:t>Gegebenenfalls sind Querverweise zu den in Teil 3 aufgeführten Angaben zu machen.</w:t>
      </w:r>
    </w:p>
    <w:p>
      <w:pPr>
        <w:pStyle w:val="Heading1"/>
      </w:pPr>
      <w:r>
        <w:t>ANHANG II (Fortsetzung)</w:t>
      </w:r>
    </w:p>
    <w:p>
      <w:pPr>
        <w:pStyle w:val="Heading2"/>
      </w:pPr>
      <w:r>
        <w:t>A.3. Pharmakokinetik</w:t>
      </w:r>
    </w:p>
    <w:p>
      <w:r>
        <w:t>Im Rahmen einer Beurteilung der klinischen Unbedenklichkeit und Wirksamkeit des Tierarzneimittels sind Angaben über die grundlegenden pharmakokinetischen Abläufe bei einem neuen Wirkstoff erforderlich.</w:t>
      </w:r>
    </w:p>
    <w:p>
      <w:r>
        <w:t>Die Zielsetzung pharmakokinetischer Studien bei der Zieltierart lässt sich in folgende drei Kernbereiche unterteilen:</w:t>
      </w:r>
    </w:p>
    <w:p>
      <w:r>
        <w:t>i) Beschreibung der Pharmakokinetik, die zur Festlegung von Basisparametern führt,</w:t>
      </w:r>
    </w:p>
    <w:p>
      <w:r>
        <w:t>ii) Anwendung dieser Parameter zur Untersuchung der Zusammenhänge zwischen Dosierungsschema, Plasma- und Gewebekonzentration im zeitlichen Verlauf und pharmakologischen, therapeutischen oder toxischen Wirkungen,</w:t>
      </w:r>
    </w:p>
    <w:p>
      <w:r>
        <w:t>iii) gegebenenfalls pharmakokinetischer Vergleich der verschiedenen Zieltierarten und Untersuchung der Frage, ob eventuelle Unterschiede zwischen den Arten Folgen für die Unbedenklichkeit und Wirksamkeit des Tierarzneimittels bei der Zieltierart haben.</w:t>
      </w:r>
    </w:p>
    <w:p>
      <w:r>
        <w:t>Bei der Zieltierart sind pharmakokinetische Studien in der Regel als Ergänzung der pharmakodynamischen Studien für eine fundierte Festlegung von wirksamen Dosierungsschemata (Verabreichungsweg und -ort, Dosis, Dosierungsintervalle, Anzahl der Verabreichungen usw.) erforderlich. Zusätzliche pharmakokinetische Studien können erforderlich werden, um Dosierungsschemata im Einklang mit bestimmten Populationsvariablen festlegen zu können.</w:t>
      </w:r>
    </w:p>
    <w:p>
      <w:r>
        <w:t>Wurden pharmakokinetische Studien gemäß Teil 3 eingereicht, können Querverweise auf diese Studien aufgenommen werden.</w:t>
      </w:r>
    </w:p>
    <w:p>
      <w:r>
        <w:t>Bei neuen Kombinationen bekannter Stoffe, die im Einklang mit den Bestimmungen dieser Richtlinie untersucht wurden, sind keine pharmakokinetischen Untersuchungen der fixen Kombination erforderlich, wenn nachgewiesen werden kann, dass die Verabreichung der Wirkstoffe als fixe Kombination ihre pharmakokinetischen Eigenschaften nicht verändert.</w:t>
      </w:r>
    </w:p>
    <w:p>
      <w:r>
        <w:t>Es müssen geeignete Untersuchungen der biologischen Verfügbarkeit zur Feststellung der Bioäquivalenz durchgeführt werden:</w:t>
      </w:r>
    </w:p>
    <w:p>
      <w:r>
        <w:t>— wenn ein neuformuliertes Tierarzneimittel mit einem bereits bestehenden verglichen wird;</w:t>
      </w:r>
    </w:p>
    <w:p>
      <w:r>
        <w:t>— falls es für den Vergleich einer/eines neuen mit einer/einem bestehenden Verabreichungsart bzw. -weg erforderlich ist.</w:t>
      </w:r>
    </w:p>
    <w:p>
      <w:pPr>
        <w:pStyle w:val="Heading1"/>
      </w:pPr>
      <w:r>
        <w:t>ANHANG II (Fortsetzung)</w:t>
      </w:r>
    </w:p>
    <w:p>
      <w:pPr>
        <w:pStyle w:val="Heading2"/>
      </w:pPr>
      <w:r>
        <w:t>B. VERTRÄGLICHKEIT BEI DEN ZIELTIERARTEN</w:t>
      </w:r>
    </w:p>
    <w:p>
      <w:r>
        <w:t>Die lokale und systemische Verträglichkeit des Tierarzneimittels ist bei den Zieltierarten zu untersuchen. Zweck dieser Studien ist es, Anzeichen von Unverträglichkeit zu beschreiben und einen angemessenen Sicherheitsspielraum bei Anwendung der empfohlenen Verabreichungswege aufzuzeigen. Dies lässt sich durch Erhöhung der therapeutischen Dosis und/oder durch Verlängerung der Behandlungsdauer erreichen. Das Versuchsprotokoll muss detaillierte Angaben zu allen erwarteten pharmakologischen Wirkungen und allen Nebenwirkungen enthalten.</w:t>
      </w:r>
    </w:p>
    <w:p>
      <w:pPr>
        <w:pStyle w:val="Heading1"/>
      </w:pPr>
      <w:r>
        <w:t>ANHANG II (Fortsetzung)</w:t>
      </w:r>
    </w:p>
    <w:p>
      <w:pPr>
        <w:pStyle w:val="Heading2"/>
      </w:pPr>
      <w:r>
        <w:t>Kapitel II</w:t>
      </w:r>
    </w:p>
    <w:p>
      <w:pPr>
        <w:pStyle w:val="Heading1"/>
      </w:pPr>
      <w:r>
        <w:t>ANHANG II (Fortsetzung)</w:t>
      </w:r>
    </w:p>
    <w:p>
      <w:pPr>
        <w:pStyle w:val="Heading2"/>
      </w:pPr>
      <w:r>
        <w:t>Klinische vorschriften</w:t>
      </w:r>
    </w:p>
    <w:p>
      <w:pPr>
        <w:pStyle w:val="Heading1"/>
      </w:pPr>
      <w:r>
        <w:t>ANHANG II (Fortsetzung)</w:t>
      </w:r>
    </w:p>
    <w:p>
      <w:pPr>
        <w:pStyle w:val="Heading2"/>
      </w:pPr>
      <w:r>
        <w:t>1. Allgemeine Grundsätze</w:t>
      </w:r>
    </w:p>
    <w:p>
      <w:r>
        <w:t>Zweck der klinischen Prüfungen ist es, die Wirkung des Tierarzneimittels nach Verabreichung gemäß dem vorgeschlagenen Dosierungsschema und über den vorgeschlagenen Verabreichungsweg nachzuweisen oder zu erhärten, und seine Indikationen und Gegenanzeigen je nach Tierart, Alter, Rasse und Geschlecht sowie die Anweisungen zum Gebrauch und mögliche Nebenwirkungen zu spezifizieren.</w:t>
      </w:r>
    </w:p>
    <w:p>
      <w:r>
        <w:t>Die Versuchsdaten sind durch Daten zu bestätigen, die unter üblichen Feldbedingungen gewonnen wurden.</w:t>
      </w:r>
    </w:p>
    <w:p>
      <w:r>
        <w:t>Von begründeten Ausnahmen abgesehen, sind klinische Prüfungen mit Kontrolltieren (kontrollierte klinische Prüfungen) durchzuführen. Die Ergebnisse, die zur Wirksamkeit erzielt wurden, sollten mit jenen bei der Zieltierart verglichen werden, die ein Tierarzneimittel, welches in der Gemeinschaft für dieselben Indikationen bei derselben Zieltierart zugelassen ist, oder ein Placebo oder gar keine Behandlung erhalten hat. Alle erzielten Ergebnisse, ob positiv oder negativ, sind zu melden.</w:t>
      </w:r>
    </w:p>
    <w:p>
      <w:r>
        <w:t>Bei Entwurf des Prüfplans, Analyse und Bewertung der klinischen Prüfungen sind feststehende statistische Grundsätze zu befolgen, andernfalls ist dies zu begründen.</w:t>
      </w:r>
    </w:p>
    <w:p>
      <w:r>
        <w:t>Bei Tierarzneimitteln, die in erster Linie als Leistungssteigerer eingesetzt werden sollen, ist insbesondere zu beachten:</w:t>
      </w:r>
    </w:p>
    <w:p>
      <w:r>
        <w:t>1. Ertrag des tierischen Erzeugnisses;</w:t>
      </w:r>
    </w:p>
    <w:p>
      <w:r>
        <w:t>2. Qualität des tierischen Erzeugnisses (organoleptische, nutritive, hygienische und technologische Eigenschaften);</w:t>
      </w:r>
    </w:p>
    <w:p>
      <w:r>
        <w:t>3. nutritiver Wirkungsgrad und Wachstum der Zieltierart;</w:t>
      </w:r>
    </w:p>
    <w:p>
      <w:r>
        <w:t>4. allgemeiner Gesundheitszustand der Zieltierart.</w:t>
      </w:r>
    </w:p>
    <w:p>
      <w:pPr>
        <w:pStyle w:val="Heading1"/>
      </w:pPr>
      <w:r>
        <w:t>ANHANG II (Fortsetzung)</w:t>
      </w:r>
    </w:p>
    <w:p>
      <w:pPr>
        <w:pStyle w:val="Heading2"/>
      </w:pPr>
      <w:r>
        <w:t>2. Durchführung der klinischen</w:t>
      </w:r>
    </w:p>
    <w:p>
      <w:r>
        <w:t>Prüfungen Alle veterinärklinischen Prüfungen sind entsprechend einem detaillierten Prüfplan durchzuführen.</w:t>
      </w:r>
    </w:p>
    <w:p>
      <w:r>
        <w:t>Klinische Feldversuche sind gemäß den feststehenden Grundsätzen der guten klinischen Praxis durchzuführen, sofern nicht anders begründet.</w:t>
      </w:r>
    </w:p>
    <w:p>
      <w:r>
        <w:t>Vor Beginn jedes Feldversuchs ist die in voller Kenntnis der Sachlage erteilte Zustimmung des Eigentümers der Versuchstiere einzuholen und zu dokumentieren. Insbesondere muss der Eigentümer der Tiere schriftlich über die Folgen einer Teilnahme an den Prüfungen im Hinblick auf die anschließende Beseitigung behandelter Tiere oder die Herstellung von Lebensmitteln aus behandelten Tieren informiert werden. Eine vom Tiereigentümer gegengezeichnete und datierte Kopie dieser Mitteilung ist den Prüfunterlagen beizufügen.</w:t>
      </w:r>
    </w:p>
    <w:p>
      <w:r>
        <w:t>Außer bei als Blindversuch durchgeführten Feldversuchen gelten die Artikel 55, 56 und 57 sinngemäß für die Etikettierung von Formulierungen, die zur Anwendung bei tiermedizinischen Feldversuchen bestimmt sind. In jedem Fall ist der Hinweis „Nur für tiermedizinische Feldversuche“ deutlich sichtbar und unlöschbar auf der Etikettierung anzubringen.</w:t>
      </w:r>
    </w:p>
    <w:p>
      <w:pPr>
        <w:pStyle w:val="Heading1"/>
      </w:pPr>
      <w:r>
        <w:t>ANHANG II (Fortsetzung)</w:t>
      </w:r>
    </w:p>
    <w:p>
      <w:pPr>
        <w:pStyle w:val="Heading2"/>
      </w:pPr>
      <w:r>
        <w:t>Kapitel III</w:t>
      </w:r>
    </w:p>
    <w:p>
      <w:pPr>
        <w:pStyle w:val="Heading1"/>
      </w:pPr>
      <w:r>
        <w:t>ANHANG II (Fortsetzung)</w:t>
      </w:r>
    </w:p>
    <w:p>
      <w:pPr>
        <w:pStyle w:val="Heading2"/>
      </w:pPr>
      <w:r>
        <w:t>Angaben und unterlagen</w:t>
      </w:r>
    </w:p>
    <w:p>
      <w:r>
        <w:t>Das Dossier über die Wirksamkeit muss alle vorklinischen und klinischen Unterlagen und/oder Prüfungsergebnisse enthalten, unabhängig davon, ob sie günstig oder ungünstig für die Tierarzneimittel ausgefallen sind, damit eine objektive Gesamtbeurteilung des Nutzen-Risiko-Verhältnisses des Arzneimittels ermöglicht wird.</w:t>
      </w:r>
    </w:p>
    <w:p>
      <w:pPr>
        <w:pStyle w:val="Heading1"/>
      </w:pPr>
      <w:r>
        <w:t>ANHANG II (Fortsetzung)</w:t>
      </w:r>
    </w:p>
    <w:p>
      <w:pPr>
        <w:pStyle w:val="Heading2"/>
      </w:pPr>
      <w:r>
        <w:t>1. Ergebnisse der vorklinischen Prüfungen</w:t>
      </w:r>
    </w:p>
    <w:p>
      <w:r>
        <w:t>Sofern möglich, sind Angaben zu den Ergebnissen folgender Versuche zu machen:</w:t>
      </w:r>
    </w:p>
    <w:p>
      <w:r>
        <w:t>a) Versuche zum Nachweis pharmakologischer Wirkungen;</w:t>
      </w:r>
    </w:p>
    <w:p>
      <w:r>
        <w:t>b) Versuche zum Nachweis der pharmakodynamischen Mechanismen, die der therapeutischen Wirkung zugrunde liegen;</w:t>
      </w:r>
    </w:p>
    <w:p>
      <w:r>
        <w:t>c) Versuche zum Nachweis des pharmakokinetischen Hauptprofils;</w:t>
      </w:r>
    </w:p>
    <w:p>
      <w:r>
        <w:t>d) Versuche zum Nachweis der Sicherheit für die Zieltiere;</w:t>
      </w:r>
    </w:p>
    <w:p>
      <w:r>
        <w:t>e) Versuche zur Erforschung von Resistenzen.</w:t>
      </w:r>
    </w:p>
    <w:p>
      <w:r>
        <w:t>Sofern während der Versuche unerwartete Ergebnisse auftreten, sind diese im Detail anzugeben.</w:t>
      </w:r>
    </w:p>
    <w:p>
      <w:r>
        <w:t>Zusätzlich sind bei allen vorklinischen Prüfungen folgende Angaben vorzulegen:</w:t>
      </w:r>
    </w:p>
    <w:p>
      <w:r>
        <w:t>a) eine Zusammenfassung;</w:t>
      </w:r>
    </w:p>
    <w:p>
      <w:r>
        <w:t>b) ein ausführliches Versuchsprotokoll mit einer Beschreibung der angewandten Methoden, Geräte und Materialien, mit Angaben wie Tierart, Alter, Gewicht, Geschlecht, Anzahl, Rasse oder Stamm der Tiere, Identifizierung der Tiere, Dosis sowie Verabreichungsweg und -schema;</w:t>
      </w:r>
    </w:p>
    <w:p>
      <w:r>
        <w:t>c) gegebenenfalls eine statistische Analyse der Ergebnisse;</w:t>
      </w:r>
    </w:p>
    <w:p>
      <w:r>
        <w:t>d) eine objektive Erörterung der erzielten Ergebnisse mit Schlussfolgerungen zu Unbedenklichkeit und Wirksamkeit des Tierarzneimittels.</w:t>
      </w:r>
    </w:p>
    <w:p>
      <w:r>
        <w:t>Werden diese Daten gar nicht oder nur teilweise angegeben, ist dies zu begründen.</w:t>
      </w:r>
    </w:p>
    <w:p>
      <w:pPr>
        <w:pStyle w:val="Heading1"/>
      </w:pPr>
      <w:r>
        <w:t>ANHANG II (Fortsetzung)</w:t>
      </w:r>
    </w:p>
    <w:p>
      <w:pPr>
        <w:pStyle w:val="Heading2"/>
      </w:pPr>
      <w:r>
        <w:t>2. Ergebnisse der klinischen Prüfungen</w:t>
      </w:r>
    </w:p>
    <w:p>
      <w:r>
        <w:t>Alle Angaben sind von jedem Versuchsleiter bei individueller Behandlung auf einzelnen Datenblättern und bei Behandlung von Tiergruppen auf kollektiven Datenblättern festzuhalten.</w:t>
      </w:r>
    </w:p>
    <w:p>
      <w:r>
        <w:t>Die Angaben sind in folgender Form vorzulegen:</w:t>
      </w:r>
    </w:p>
    <w:p>
      <w:r>
        <w:t>a) Name, Anschrift, Funktion und Qualifikationen des Versuchsleiters;</w:t>
      </w:r>
    </w:p>
    <w:p>
      <w:r>
        <w:t>b) Ort und Zeitpunkt der Behandlung; Name und Anschrift des Tiereigentümers;</w:t>
      </w:r>
    </w:p>
    <w:p>
      <w:r>
        <w:t>c) detailliertes klinisches Versuchsprotokoll mit einer Beschreibung der angewandten Methoden (einschließlich Randomisierung und blinde Versuchsanordnung), Angaben wie Verabreichungsweg und Verabreichungsschema, Dosis, Identifizierung der Versuchstiere, Art, Rasse oder Stamm der Tiere, Alter, Gewicht, Geschlecht sowie physiologischer Status;</w:t>
      </w:r>
    </w:p>
    <w:p>
      <w:r>
        <w:t>d) Tierhaltungs- und Fütterungsmethoden unter Angabe der Zusammensetzung des Futters sowie von Art und Menge etwaiger Futterzusätze;</w:t>
      </w:r>
    </w:p>
    <w:p>
      <w:r>
        <w:t>e) Krankengeschichte (möglichst vollständig), Auftreten und Verlauf aller zwischenzeitlich auftretenden Erkrankungen;</w:t>
      </w:r>
    </w:p>
    <w:p>
      <w:r>
        <w:t>f) Diagnose und Diagnosehilfen;</w:t>
      </w:r>
    </w:p>
    <w:p>
      <w:r>
        <w:t>g) klinische Anzeichen, möglichst entsprechend herkömmlichen Kriterien;</w:t>
      </w:r>
    </w:p>
    <w:p>
      <w:r>
        <w:t>h) genaue Identifizierung der in der klinischen Prüfung verwendeten Formulierung des Tierarzneimittels sowie die physikalischen und chemischen Versuchsergebnisse für die betreffenden Chargen;</w:t>
      </w:r>
    </w:p>
    <w:p>
      <w:r>
        <w:t>i) Dosierung des Tierarzneimittels, Art, Weg und Häufigkeit der Verabreichung und gegebenenfalls Vorsichtsmaßnahmen während der Verabreichung (Injektionsdauer usw.);</w:t>
      </w:r>
    </w:p>
    <w:p>
      <w:r>
        <w:t>j) Behandlungsdauer und anschließender Beobachtungszeitraum;</w:t>
      </w:r>
    </w:p>
    <w:p>
      <w:r>
        <w:t>k) alle Einzelheiten über andere Tierarzneimittel, die im Untersuchungszeitraum vor oder gleichzeitig mit dem geprüften Präparat verabreicht wurden, und im letzteren Fall detaillierte Angaben über etwaige beobachtete Wechselwirkungen;</w:t>
      </w:r>
    </w:p>
    <w:p>
      <w:r>
        <w:t>l) sämtliche Ergebnisse der klinischen Prüfungen mit umfassender Beschreibung der Ergebnisse, die auf den Wirksamkeitskriterien und den Endpunkten basieren, welche im klinischen Versuchsprotokoll angegeben sind, und gegebenenfalls mit den Ergebnissen der statistischen Analysen;</w:t>
      </w:r>
    </w:p>
    <w:p>
      <w:r>
        <w:t>m) alle Angaben über beobachtete unerwünschte Ereignisse, ob schädlich oder unschädlich, und über alle getroffenen Gegenmaßnahmen; der Zusammenhang zwischen Ursache und Wirkung ist, sofern möglich, zu untersuchen;</w:t>
      </w:r>
    </w:p>
    <w:p>
      <w:r>
        <w:t>n) gegebenenfalls die Auswirkungen auf die Nutzleistung der Tiere;</w:t>
      </w:r>
    </w:p>
    <w:p>
      <w:r>
        <w:t>o) Auswirkungen auf die Qualität der von den behandelten Tieren stammenden Lebensmittel, insbesondere bei Tierarzneimitteln, die die Produktion steigern sollen;</w:t>
      </w:r>
    </w:p>
    <w:p>
      <w:r>
        <w:t>p) eine Schlussfolgerung über die Unbedenklichkeit und Wirksamkeit in jedem Einzelfall oder, wenn es um eine bestimmte Massenbehandlung geht, in zusammengefasster Form im Hinblick auf die Häufigkeit oder andere geeignete Variablen.</w:t>
      </w:r>
    </w:p>
    <w:p>
      <w:r>
        <w:t>Bleibt einer der unter den Buchstaben a bis p aufgeführten Punkte unberücksichtigt, ist dies zu begründen.</w:t>
      </w:r>
    </w:p>
    <w:p>
      <w:r>
        <w:t>Der Inhaber der Genehmigung für das Inverkehrbringen des Tierarzneimittels muss alle notwendigen Vorkehrungen treffen, um sicherzustellen, dass die Originalunterlagen, die die Grundlage der vorgelegten Daten darstellen, mindestens fünf Jahre nach Ablauf der Genehmigung aufbewahrt werden.</w:t>
      </w:r>
    </w:p>
    <w:p>
      <w:r>
        <w:t>Für jede klinische Prüfung müssen die klinischen Beobachtungen in einer Gesamtschau der Versuche und ihrer Ergebnisse unter besonderer Berücksichtigung folgender Angaben zusammengefasst werden:</w:t>
      </w:r>
    </w:p>
    <w:p>
      <w:r>
        <w:t>a) Anzahl der Kontroll- und Versuchstiere, die entweder individuell oder kollektiv behandelt wurden, mit einer Aufschlüsselung in Bezug auf Art, Rasse oder Stamm, Alter und Geschlecht;</w:t>
      </w:r>
    </w:p>
    <w:p>
      <w:r>
        <w:t>b) Anzahl der vorzeitig aus den Prüfungen herausgenommenen Tiere mit entsprechender Begründung;</w:t>
      </w:r>
    </w:p>
    <w:p>
      <w:r>
        <w:t>c) bei Kontrolltieren die Angabe, ob sie:</w:t>
      </w:r>
    </w:p>
    <w:p>
      <w:r>
        <w:t>— keine Behandlung erhalten haben,</w:t>
      </w:r>
    </w:p>
    <w:p>
      <w:r>
        <w:t>— ein Placebo erhalten haben,</w:t>
      </w:r>
    </w:p>
    <w:p>
      <w:r>
        <w:t>— ein anderes Tierarzneimittel erhalten haben, welches in der Gemeinschaft für dieselbe Indikation bei denselben Zieltierarten zugelassen ist,</w:t>
      </w:r>
    </w:p>
    <w:p>
      <w:r>
        <w:t>— den in Prüfung befindlichen Wirkstoff in einer anderen Formulierung bzw. auf einem anderen Verabreichungsweg erhalten haben;</w:t>
      </w:r>
    </w:p>
    <w:p>
      <w:r>
        <w:t>d) Häufigkeit des Auftretens der beobachteten Nebenwirkungen;</w:t>
      </w:r>
    </w:p>
    <w:p>
      <w:r>
        <w:t>e) gegebenenfalls Beobachtungen zur Auswirkung auf die Nutzleistung der Tiere;</w:t>
      </w:r>
    </w:p>
    <w:p>
      <w:r>
        <w:t>f) ausführliche Angaben zu Versuchstieren, die wegen ihres Alters sowie der Zucht- oder Fütterungsmethoden oder angesichts ihres Verwendungszwecks größeren Risiken ausgesetzt sein können, oder zu Tieren, deren physiologischer oder pathologischer Zustand besondere Aufmerksamkeit erfordert;</w:t>
      </w:r>
    </w:p>
    <w:p>
      <w:r>
        <w:t>g) eine statistische Auswertung der Ergebnisse.</w:t>
      </w:r>
    </w:p>
    <w:p>
      <w:r>
        <w:t>Schließlich muss der Versuchsleiter allgemeine Schlussfolgerungen über die Wirksamkeit und Unbedenklichkeit des Tierarzneimittels unter den vorgeschlagenen Anwendungsbedingungen und insbesondere alle Informationen zu Indikationen und Gegenanzeigen, Dosierung und durchschnittlicher Behandlungsdauer sowie gegebenenfalls allen beobachteten Wechselwirkungen mit anderen Arzneimitteln oder Zusatzstoffen in Futtermitteln sowie allen während der Behandlung zu treffenden besonderen Vorkehrungen und die möglicherweise beobachteten klinischen Symptome einer Überdosierung ziehen.</w:t>
      </w:r>
    </w:p>
    <w:p>
      <w:r>
        <w:t>Bei fixen Arzneimittelkombinationen muss der Versuchsleiter auch Schlussfolgerungen in Bezug auf die Unbedenklichkeit und die Wirksamkeit des Arzneimittels im Vergleich zu der gesonderten Verabreichung der betreffenden Wirkstoffe ziehen.</w:t>
      </w:r>
    </w:p>
    <w:p>
      <w:pPr>
        <w:pStyle w:val="Heading1"/>
      </w:pPr>
      <w:r>
        <w:t>ANHANG II (Fortsetzung)</w:t>
      </w:r>
    </w:p>
    <w:p>
      <w:pPr>
        <w:pStyle w:val="Heading2"/>
      </w:pPr>
      <w:r>
        <w:t>TITEL II</w:t>
      </w:r>
    </w:p>
    <w:p>
      <w:pPr>
        <w:pStyle w:val="Heading1"/>
      </w:pPr>
      <w:r>
        <w:t>ANHANG II (Fortsetzung)</w:t>
      </w:r>
    </w:p>
    <w:p>
      <w:pPr>
        <w:pStyle w:val="Heading2"/>
      </w:pPr>
      <w:r>
        <w:t>Vorschriften für immunologische tierarzneimittel</w:t>
      </w:r>
    </w:p>
    <w:p>
      <w:r>
        <w:t>Unbeschadet der besonderen Vorschriften des Gemeinschaftsrechts über die Eindämmung und Bekämpfung bestimmter infektiöser Tierkrankheiten gelten für immunologische Tierarzneimittel die nachstehenden Vorschriften, es sei denn die Arzneimittel sind, wie in Titel III und in den einschlägigen Leitlinien festgelegt, für die Anwendung bei gewissen Arten und bestimmten Indikationen bestimmt.</w:t>
      </w:r>
    </w:p>
    <w:p>
      <w:pPr>
        <w:pStyle w:val="Heading1"/>
      </w:pPr>
      <w:r>
        <w:t>ANHANG II (Fortsetzung)</w:t>
      </w:r>
    </w:p>
    <w:p>
      <w:pPr>
        <w:pStyle w:val="Heading2"/>
      </w:pPr>
      <w:r>
        <w:t>TEIL 1</w:t>
      </w:r>
    </w:p>
    <w:p>
      <w:pPr>
        <w:pStyle w:val="Heading1"/>
      </w:pPr>
      <w:r>
        <w:t>ANHANG II (Fortsetzung)</w:t>
      </w:r>
    </w:p>
    <w:p>
      <w:pPr>
        <w:pStyle w:val="Heading2"/>
      </w:pPr>
      <w:r>
        <w:t>Zusammenfassung der unterlagen</w:t>
      </w:r>
    </w:p>
    <w:p>
      <w:pPr>
        <w:pStyle w:val="Heading1"/>
      </w:pPr>
      <w:r>
        <w:t>ANHANG II (Fortsetzung)</w:t>
      </w:r>
    </w:p>
    <w:p>
      <w:pPr>
        <w:pStyle w:val="Heading2"/>
      </w:pPr>
      <w:r>
        <w:t>A. ADMINISTRATIVE ANGABEN</w:t>
      </w:r>
    </w:p>
    <w:p>
      <w:r>
        <w:t>Für das immunologische Tierarzneimittel, auf das sich der Antrag bezieht, sind der Name, der Name des Wirkstoffs bzw. der Wirkstoffe zusammen mit der biologischen Aktivität, der Potenz oder dem Titer, die Darreichungsform sowie gegebenenfalls Art und Form der Anwendung anzugeben; ferner ist eine Beschreibung der endgültigen Aufmachung des Erzeugnisses samt Verpackung, Etikettierung und Packungsbeilage vorzulegen. Verdünnungsmittel können zusammen mit den Impfstoffampullen oder getrennt verpackt sein.</w:t>
      </w:r>
    </w:p>
    <w:p>
      <w:r>
        <w:t>Die Unterlagen müssen auch Informationen über die Verdünnungsmittel enthalten, die zur Fertigstellung des endgültigen Impfstoffs erforderlich sind. Ein immunologisches Tierarzneimittel gilt als ein einziges Arzneimittel, selbst wenn mehrere Verdünnungsmittel benötigt werden, sodass sich verschiedene Zubereitungen des Fertigarzneimittels herstellen lassen, die für verschiedene Verabreichungswege oder -arten gedacht sind.</w:t>
      </w:r>
    </w:p>
    <w:p>
      <w:r>
        <w:t>Es sind der Name und die Anschrift des Antragstellers, der Name und die Anschrift des Herstellers und der Unternehmensstandorte, an denen die einzelnen Herstellungs- und Prüfungsschritte erfolgt sind, (einschließlich des Herstellers des Fertigprodukts und der Hersteller der Wirkstoffe) sowie gegebenenfalls der Name und die Anschrift des Importeurs anzugeben.</w:t>
      </w:r>
    </w:p>
    <w:p>
      <w:r>
        <w:t>Der Antragsteller muss die Anzahl und Titel der zur Begründung des Antrags eingereichten Unterlagen sowie die gegebenenfalls vorgelegten Muster angeben.</w:t>
      </w:r>
    </w:p>
    <w:p>
      <w:r>
        <w:t>Den administrativen Angaben sind Kopien eines Belegs dafür beizufügen, dass der Hersteller berechtigt ist, immunologische Tierarzneimittel gemäß Artikel 44 herzustellen. Außerdem ist eine Liste der in der Produktionsstätte verwendeten Organismen vorzulegen.</w:t>
      </w:r>
    </w:p>
    <w:p>
      <w:r>
        <w:t>Der Antragsteller muss ein Verzeichnis der Länder vorlegen, in denen eine Zulassung gewährt worden ist, sowie ein Verzeichnis der Länder, in denen ein Antrag vorgelegt oder abgelehnt worden ist.</w:t>
      </w:r>
    </w:p>
    <w:p>
      <w:pPr>
        <w:pStyle w:val="Heading1"/>
      </w:pPr>
      <w:r>
        <w:t>ANHANG II (Fortsetzung)</w:t>
      </w:r>
    </w:p>
    <w:p>
      <w:pPr>
        <w:pStyle w:val="Heading2"/>
      </w:pPr>
      <w:r>
        <w:t>B. ZUSAMMENFASSUNG DER MERKMALE DES ARZNEIMITTELS, ETIKETTIERUNG UND PACKUNGSBEILAGE</w:t>
      </w:r>
    </w:p>
    <w:p>
      <w:r>
        <w:t>Der Antragsteller muss eine Zusammenfassung der Merkmale des Tierarzneimittels gemäß Artikel 14 vorschlagen.</w:t>
      </w:r>
    </w:p>
    <w:p>
      <w:r>
        <w:t>Für die Beschriftung der Primärverpackung und der äußeren Umhüllung sowie für die Packungsbeilage, falls eine solche gemäß Artikel 61 erforderlich ist, ist gemäß Titel V dieser Richtlinie ein Textvorschlag vorzulegen. Zusätzlich muss der Antragsteller ein oder mehrere Muster oder Modelle der endgültigen Aufmachung(en) des Tierarzneimittels in mindestens einer Amtssprache der Europäischen Union vorlegen; das Modell kann nach vorheriger Zustimmung der zuständigen Behörde auf elektronischem Wege und in schwarz-weiß vorgelegt werden.</w:t>
      </w:r>
    </w:p>
    <w:p>
      <w:pPr>
        <w:pStyle w:val="Heading1"/>
      </w:pPr>
      <w:r>
        <w:t>ANHANG II (Fortsetzung)</w:t>
      </w:r>
    </w:p>
    <w:p>
      <w:pPr>
        <w:pStyle w:val="Heading2"/>
      </w:pPr>
      <w:r>
        <w:t>C. AUSFÜHRLICHE KRITISCHE ZUSAMMENFASSUNGEN</w:t>
      </w:r>
    </w:p>
    <w:p>
      <w:r>
        <w:t>Jede ausführliche kritische Zusammenfassung gemäß Artikel 12 Absatz 3 Unterabsatz 2 ist auf der Grundlage des wissenschaftlichen Kenntnisstands zum Zeitpunkt der Antragstellung auszuarbeiten. Sie muss eine Bewertung der verschiedenen Prüfungen und Versuche enthalten, die Bestandteile des Antragsdossiers sind, und alle für die Beurteilung von Qualität, Unbedenklichkeit und Wirksamkeit des immunologischen Tierarzneimittels relevanten Punkte behandeln. Die Ergebnisse der vorgelegten Prüfungen und Versuche sind detailliert aufzuführen und es sind genaue Quellenangaben zu machen.</w:t>
      </w:r>
    </w:p>
    <w:p>
      <w:r>
        <w:t>In einem Anhang zu den ausführlichen kritischen Zusammenfassungen sind alle wichtigen Daten zusammenzufassen, und zwar möglichst in Form einer Tabelle oder Grafik. Die ausführlichen kritischen Zusammenfassungen müssen genaue Querverweise zu den Angaben im Zulassungsdossier aufweisen.</w:t>
      </w:r>
    </w:p>
    <w:p>
      <w:r>
        <w:t>Die ausführlichen kritischen Zusammenfassungen sind zu unterzeichnen und zu datieren; außerdem sind Angaben zum Ausbildungsprofil und zur Berufserfahrung des Verfassers zu machen. Die beruflichen Beziehungen zwischen Verfasser und Antragsteller sind darzulegen.</w:t>
      </w:r>
    </w:p>
    <w:p>
      <w:pPr>
        <w:pStyle w:val="Heading1"/>
      </w:pPr>
      <w:r>
        <w:t>ANHANG II (Fortsetzung)</w:t>
      </w:r>
    </w:p>
    <w:p>
      <w:pPr>
        <w:pStyle w:val="Heading2"/>
      </w:pPr>
      <w:r>
        <w:t>TEIL 2</w:t>
      </w:r>
    </w:p>
    <w:p>
      <w:pPr>
        <w:pStyle w:val="Heading1"/>
      </w:pPr>
      <w:r>
        <w:t>ANHANG II (Fortsetzung)</w:t>
      </w:r>
    </w:p>
    <w:p>
      <w:pPr>
        <w:pStyle w:val="Heading2"/>
      </w:pPr>
      <w:r>
        <w:t>Chemische, pharmazeutische und biologische/mikrobiologische daten (qualität)</w:t>
      </w:r>
    </w:p>
    <w:p>
      <w:r>
        <w:t>Alle Prüfverfahren müssen die erforderlichen Kriterien für die Analyse und Kontrolle der Qualität der Ausgangsstoffe und des Fertigerzeugnisses erfüllen und sie müssen validiert sein. Die Ergebnisse der Validierungsstudien sind vorzulegen. Von allen gegebenenfalls verwendeten besonderen Geräten und Anlagen sind genaue Beschreibungen und, sofern möglich, eine grafische Darstellung beizufügen. Die Formeln der Laborreagenzien sind gegebenenfalls durch die Herstellungsmethode zu ergänzen.</w:t>
      </w:r>
    </w:p>
    <w:p>
      <w:r>
        <w:t>Bei Prüfverfahren, die im Europäischen Arzneibuch oder im Arzneibuch eines Mitgliedstaats enthalten sind, kann diese Beschreibung durch einen detaillierten Verweis auf das betreffende Arzneibuch ersetzt werden.</w:t>
      </w:r>
    </w:p>
    <w:p>
      <w:r>
        <w:t>Sofern verfügbar, sind die im Europäischen Arzneibuch verzeichneten chemischen und biologischen Referenzmaterialien zu verwenden. Falls andere Referenzzubereitungen und -standards verwendet werden, sind diese anzugeben und ausführlich zu beschreiben.</w:t>
      </w:r>
    </w:p>
    <w:p>
      <w:pPr>
        <w:pStyle w:val="Heading1"/>
      </w:pPr>
      <w:r>
        <w:t>ANHANG II (Fortsetzung)</w:t>
      </w:r>
    </w:p>
    <w:p>
      <w:pPr>
        <w:pStyle w:val="Heading2"/>
      </w:pPr>
      <w:r>
        <w:t>A. ZUSAMMENSETZUNG NACH ART UND MENGE DER BESTANDTEILE</w:t>
      </w:r>
    </w:p>
    <w:p>
      <w:pPr>
        <w:pStyle w:val="Heading1"/>
      </w:pPr>
      <w:r>
        <w:t>ANHANG II (Fortsetzung)</w:t>
      </w:r>
    </w:p>
    <w:p>
      <w:pPr>
        <w:pStyle w:val="Heading2"/>
      </w:pPr>
      <w:r>
        <w:t>1. Zusammensetzung nach Art</w:t>
      </w:r>
    </w:p>
    <w:p>
      <w:r>
        <w:t>Unter „Zusammensetzung nach Art“ aller Bestandteile des immunologischen Tierarzneimittels versteht man die Bezeichnung oder Beschreibung</w:t>
      </w:r>
    </w:p>
    <w:p>
      <w:r>
        <w:t>— der Wirkstoffe;</w:t>
      </w:r>
    </w:p>
    <w:p>
      <w:r>
        <w:t>— der Bestandteile des Adjuvans;</w:t>
      </w:r>
    </w:p>
    <w:p>
      <w:r>
        <w:t>— der Bestandteile der verwendeten Hilfsstoffe, und zwar unabhängig von Art und Menge dieser Bestandteile, einschließlich der Konservierungsmittel, Stabilisatoren, Emulgatoren, Farbstoffe, Geschmacks- und Aromastoffe, Marker usw.;</w:t>
      </w:r>
    </w:p>
    <w:p>
      <w:r>
        <w:t>— der Bestandteile der Darreichungsform, die dem Tier verabreicht wird.</w:t>
      </w:r>
    </w:p>
    <w:p>
      <w:r>
        <w:t>Diese Angaben sind durch alle zweckdienlichen Auskünfte über das Behältnis und gegebenenfalls die Art seines Verschlusses sowie durch genaue Angaben über Vorrichtungen, mit denen das immunologische Tierarzneimittel angewandt oder verabreicht wird und die mit dem Mittel geliefert werden, zu vervollständigen. Wird die Vorrichtung nicht mit dem immunologischen Tierarzneimittel geliefert, sind zweckdienliche Angaben zur Vorrichtung zu machen, sofern dies für die Beurteilung des Arzneimittels erforderlich ist.</w:t>
      </w:r>
    </w:p>
    <w:p>
      <w:pPr>
        <w:pStyle w:val="Heading1"/>
      </w:pPr>
      <w:r>
        <w:t>ANHANG II (Fortsetzung)</w:t>
      </w:r>
    </w:p>
    <w:p>
      <w:pPr>
        <w:pStyle w:val="Heading2"/>
      </w:pPr>
      <w:r>
        <w:t>2. Allgemein gebräuchliche Bezeichnungen</w:t>
      </w:r>
    </w:p>
    <w:p>
      <w:r>
        <w:t>Für die gebräuchlichen Bezeichnungen zur Beschreibung der Bestandteile eines Tierarzneimittels ist unbeschadet der in Artikel 12 Absatz 3 Buchstabe c dieser Richtlinie vorgesehenen Angaben Folgendes maßgeblich:</w:t>
      </w:r>
    </w:p>
    <w:p>
      <w:r>
        <w:t>— Bei den im Europäischen Arzneibuch oder, falls dort nicht vorhanden, im Arzneibuch eines Mitgliedstaats aufgeführten Stoffen muss die in der betreffenden Monographie enthaltene Hauptbezeichnung verwendet werden, die für alle diese Stoffe verpflichtend wird, und zwar unter Bezugnahme auf das fragliche Arzneibuch.</w:t>
      </w:r>
    </w:p>
    <w:p>
      <w:r>
        <w:t>— Bei den übrigen Stoffen ist der von der Weltgesundheitsorganisation (WHO) empfohlene internationale Freiname, der durch einen weiteren Freinamen ergänzt werden kann, oder, falls ein solcher nicht vorhanden ist, die genaue wissenschaftliche Bezeichnung zu verwenden. Stoffe ohne internationale Freinamen oder ohne genaue wissenschaftliche Bezeichnung werden durch Angabe von Ursprung und Entstehungsart bezeichnet, wobei gegebenenfalls nähere zweckdienliche Angaben beizufügen sind.</w:t>
      </w:r>
    </w:p>
    <w:p>
      <w:r>
        <w:t>— Bei färbenden Stoffen ist die „E“-Nummer gemäß der Richtlinie 78/25/EWG zu verwenden.</w:t>
      </w:r>
    </w:p>
    <w:p>
      <w:pPr>
        <w:pStyle w:val="Heading1"/>
      </w:pPr>
      <w:r>
        <w:t>ANHANG II (Fortsetzung)</w:t>
      </w:r>
    </w:p>
    <w:p>
      <w:pPr>
        <w:pStyle w:val="Heading2"/>
      </w:pPr>
      <w:r>
        <w:t>3. Zusammensetzung nach Menge</w:t>
      </w:r>
    </w:p>
    <w:p>
      <w:r>
        <w:t>Was die „Zusammensetzung nach Menge“ der Wirkstoffe eines immunologischen Tierarzneimittels betrifft, so ist, sofern möglich, die Anzahl der Organismen, der spezifische Proteingehalt, die Masse, die Zahl der internationalen Einheiten oder Einheiten biologischer Aktivität entweder je Dosierungseinheit oder Volumen und, in Bezug auf das Adjuvans und die Bestandteile der Hilfsstoffe, die Masse oder das Volumen von jedem einzelnen von ihnen unter angemessener Berücksichtigung der im folgenden Abschnitt B genannten Einzelheiten genau anzugeben.</w:t>
      </w:r>
    </w:p>
    <w:p>
      <w:r>
        <w:t>Sofern eine internationale Einheit biologischer Aktivität festgelegt wurde, ist diese anzuwenden.</w:t>
      </w:r>
    </w:p>
    <w:p>
      <w:r>
        <w:t>Die Einheiten biologischer Aktivität, für die keine veröffentlichten Daten bestehen, sind so auszudrücken, dass eine eindeutige Aussage über die Wirksamkeit der Bestandteile getroffen wird, z. B. durch Angabe der immunologischen Wirkung, auf der die Methode der Dosisbestimmung basiert.</w:t>
      </w:r>
    </w:p>
    <w:p>
      <w:pPr>
        <w:pStyle w:val="Heading1"/>
      </w:pPr>
      <w:r>
        <w:t>ANHANG II (Fortsetzung)</w:t>
      </w:r>
    </w:p>
    <w:p>
      <w:pPr>
        <w:pStyle w:val="Heading2"/>
      </w:pPr>
      <w:r>
        <w:t>4. Produktentwicklung</w:t>
      </w:r>
    </w:p>
    <w:p>
      <w:r>
        <w:t>Es müssen erläuternde Angaben zu Zusammensetzung, Bestandteilen und Behältnissen gemacht und durch wissenschaftliche Daten über die Produktentwicklung ergänzt werden. Wirkstoffzuschläge sind anzugeben und zu begründen.</w:t>
      </w:r>
    </w:p>
    <w:p>
      <w:pPr>
        <w:pStyle w:val="Heading1"/>
      </w:pPr>
      <w:r>
        <w:t>ANHANG II (Fortsetzung)</w:t>
      </w:r>
    </w:p>
    <w:p>
      <w:pPr>
        <w:pStyle w:val="Heading2"/>
      </w:pPr>
      <w:r>
        <w:t>B. BESCHREIBUNG DER HERSTELLUNGSWEISE</w:t>
      </w:r>
    </w:p>
    <w:p>
      <w:r>
        <w:t>Die Beschreibung der Herstellungsweise, die dem Antrag auf Zulassung gemäß Artikel 12 Absatz 3 Buchstabe d beizufügen ist, muss eine ausreichende Beschreibung der Art der Herstellungsschritte geben.</w:t>
      </w:r>
    </w:p>
    <w:p>
      <w:r>
        <w:t>Zu diesem Zweck ist mindestens Folgendes anzugeben:</w:t>
      </w:r>
    </w:p>
    <w:p>
      <w:r>
        <w:t>— die verschiedenen Herstellungsstufen (einschließlich Antigenproduktion und Reinigungsverfahren), sodass eine Beurteilung der Reproduzierbarkeit des Herstellungsverfahrens sowie der Risiken nachteiliger Auswirkungen auf das Fertigerzeugnis, wie mikrobiologische Kontaminierung, möglich ist; die Validierung der Hauptproduktionsschritte und die Validierung des gesamten Produktionsprozesses sind nachzuweisen, wobei die Ergebnisse von drei nach dem beschriebenen Verfahren in Folge produzierten Chargen vorzulegen sind;</w:t>
      </w:r>
    </w:p>
    <w:p>
      <w:r>
        <w:t>— bei kontinuierlicher Herstellung, umfassende Angaben über die Maßnahmen zur Sicherung der Homogenität und gleichbleibenden Qualität jeder Charge des Fertigerzeugnisses;</w:t>
      </w:r>
    </w:p>
    <w:p>
      <w:r>
        <w:t>— Auflistung aller Stoffe in der jeweiligen Stufe ihres Einsatzes, einschließlich jener, die während des Herstellungsvorgangs nicht zurückgewonnen werden können;</w:t>
      </w:r>
    </w:p>
    <w:p>
      <w:r>
        <w:t>— die Mischung im Einzelnen mit mengenmäßiger Angabe aller verwendeten Stoffe;</w:t>
      </w:r>
    </w:p>
    <w:p>
      <w:r>
        <w:t>— die Herstellungsstufen, bei denen Proben für die produktionsbegleitenden Kontrolluntersuchungen entnommen wurden.</w:t>
      </w:r>
    </w:p>
    <w:p>
      <w:pPr>
        <w:pStyle w:val="Heading1"/>
      </w:pPr>
      <w:r>
        <w:t>ANHANG II (Fortsetzung)</w:t>
      </w:r>
    </w:p>
    <w:p>
      <w:pPr>
        <w:pStyle w:val="Heading2"/>
      </w:pPr>
      <w:r>
        <w:t>C. HERSTELLUNG UND KONTROLLE DER AUSGANGSSTOFFE</w:t>
      </w:r>
    </w:p>
    <w:p>
      <w:r>
        <w:t>Ausgangsstoffe im Sinne dieses Abschnitts sind alle Bestandteile, die zur Herstellung des immunologischen Tierarzneimittels verwendet werden. Zur Herstellung des Wirkstoffes verwandte Kulturmedien, die sich aus mehreren Bestandteilen zusammensetzen, gelten als ein einziger Ausgangsstoff. Trotzdem muss die Zusammensetzung nach Art und Menge jedes Kulturmediums angegeben werden, falls die Behörden der Auffassung sind, dass diese Informationen wichtig für die Qualität des Fertigerzeugnisses und etwaige dadurch bedingte Risiken sind. Wird für die Zubereitung dieser Kulturmedien Material tierischen Ursprungs verwendet, müssen auch die Tierart und das verwendete Gewebe daraus hervorgehen.</w:t>
      </w:r>
    </w:p>
    <w:p>
      <w:r>
        <w:t>Das Dossier muss die Spezifikationen sowie Informationen über die Qualitätskontrollprüfungen, die für alle Chargen von Ausgangsstoffen durchzuführen sind, und die Ergebnisse für eine Charge aller verwendeten Bestandteile umfassen und ist gemäß den folgenden Bestimmungen vorzulegen.</w:t>
      </w:r>
    </w:p>
    <w:p>
      <w:pPr>
        <w:pStyle w:val="Heading1"/>
      </w:pPr>
      <w:r>
        <w:t>ANHANG II (Fortsetzung)</w:t>
      </w:r>
    </w:p>
    <w:p>
      <w:pPr>
        <w:pStyle w:val="Heading2"/>
      </w:pPr>
      <w:r>
        <w:t>1. In Arzneibüchern aufgeführte Ausgangsstoffe</w:t>
      </w:r>
    </w:p>
    <w:p>
      <w:r>
        <w:t>Die Monographien des Europäischen Arzneibuchs gelten für alle darin aufgeführten Ausgangsstoffe.</w:t>
      </w:r>
    </w:p>
    <w:p>
      <w:r>
        <w:t>Bei allen anderen Stoffen kann jeder Mitgliedstaat verlangen, dass bei der in seinem Hoheitsgebiet erfolgenden Herstellung die Vorschriften seines Arzneibuchs eingehalten werden.</w:t>
      </w:r>
    </w:p>
    <w:p>
      <w:r>
        <w:t>Die Bestimmungen des Artikels 12 Absatz 3 Buchstabe i gelten als erfüllt, wenn die Bestandteile den Vorschriften des Europäischen Arzneibuchs oder des Arzneibuchs eines der Mitgliedstaaten entsprechen. In diesem Fall kann die Beschreibung der Analysemethoden durch eine detaillierte Bezugnahme auf das betreffende Arzneibuch ersetzt werden.</w:t>
      </w:r>
    </w:p>
    <w:p>
      <w:r>
        <w:t>Färbende Stoffe müssen in jedem Fall den Vorschriften der Richtlinie 78/25/EWG genügen.</w:t>
      </w:r>
    </w:p>
    <w:p>
      <w:r>
        <w:t>Die bei jeder einzelnen Charge der Ausgangsstoffe durchzuführenden Routineprüfungen müssen den Angaben im Antrag auf Zulassung entsprechen. Werden andere als die im Arzneibuch angegebenen Versuche durchgeführt, so ist der Nachweis zu erbringen, dass die Ausgangsstoffe den Qualitätsanforderungen dieses Arzneibuchs entsprechen.</w:t>
      </w:r>
    </w:p>
    <w:p>
      <w:r>
        <w:t>Die zuständigen Behörden können vom Antragsteller geeignetere Spezifikationen verlangen, wenn eine Spezifikation oder sonstige Bestimmungen einer Monographie des Europäischen Arzneibuchs oder des Arzneibuchs eines Mitgliedstaats unter Umständen nicht genügt, um die Qualität der Stoffe zu gewährleisten. Die für das betreffende Arzneibuch zuständigen Behörden werden auf den vermuteten Mangel hingewiesen.</w:t>
      </w:r>
    </w:p>
    <w:p>
      <w:r>
        <w:t>Ist ein Ausgangsstoff weder im Europäischen Arzneibuch noch im Arzneibuch eines Mitgliedstaats beschrieben, kann die Übereinstimmung mit der Monographie des Arzneibuchs eines Drittlandes akzeptiert werden; in solchen Fällen muss der Antragsteller eine Kopie der Monographie vorlegen, wenn nötig zusammen mit der Validierung der in der Monographie enthaltenen Prüfverfahren und gegebenenfalls einer Übersetzung.</w:t>
      </w:r>
    </w:p>
    <w:p>
      <w:r>
        <w:t>Werden Ausgangsstoffe tierischen Ursprungs verwendet, müssen sie mit den einschlägigen Monographien einschließlich der allgemeinen Monographien und Kapitel des Europäischen Arzneibuchs übereinstimmen. Die Prüfungen und Kontrollen, die durchgeführt werden, müssen sich für das Ausgangsmaterial eignen.</w:t>
      </w:r>
    </w:p>
    <w:p>
      <w:r>
        <w:t>Der Antragsteller muss durch entsprechende Unterlagen belegen, dass die Ausgangsstoffe und die Herstellung des Tierarzneimittels mit den Anforderungen der „Leitlinien für die Minimierung des Risikos der Übertragung von Erregern der Spongiformen Enzephalopathie tierischen Ursprungs durch Human- und Tierarzneimittel“ sowie mit der entsprechenden Monographie des Europäischen Arzneibuchs in Einklang stehen. Dieser Nachweis kann durch Eignungszertifikate erbracht werden, die von der Europäischen Direktion für die Qualität von Medikamenten (EDQM) für die einschlägige Monographie des Europäischen Arzneibuchs ausgestellt werden.</w:t>
      </w:r>
    </w:p>
    <w:p>
      <w:pPr>
        <w:pStyle w:val="Heading1"/>
      </w:pPr>
      <w:r>
        <w:t>ANHANG II (Fortsetzung)</w:t>
      </w:r>
    </w:p>
    <w:p>
      <w:pPr>
        <w:pStyle w:val="Heading2"/>
      </w:pPr>
      <w:r>
        <w:t>2. Nicht in einem Arzneibuch aufgeführte Ausgangsstoffe</w:t>
      </w:r>
    </w:p>
    <w:p>
      <w:pPr>
        <w:pStyle w:val="Heading1"/>
      </w:pPr>
      <w:r>
        <w:t>ANHANG II (Fortsetzung)</w:t>
      </w:r>
    </w:p>
    <w:p>
      <w:pPr>
        <w:pStyle w:val="Heading2"/>
      </w:pPr>
      <w:r>
        <w:t>2.1. Ausgangsstoffe biologischer Herkunft</w:t>
      </w:r>
    </w:p>
    <w:p>
      <w:r>
        <w:t>Die Beschreibung muss in Form einer Monographie erfolgen.</w:t>
      </w:r>
    </w:p>
    <w:p>
      <w:r>
        <w:t>Sofern möglich, muss die Herstellung von Impfstoffen auf der Grundlage eines Saatgutsystems und angelegter Zellkulturen erfolgen. Für die Herstellung immunologischer Tierarzneimittel, die aus Seren bestehen, sind die Herkunft, der allgemeine Gesundheitszustand und der immunologische Status der für die Herstellung verwendeten Tiere anzugeben und das Ausgangsmaterial muss aus genau definierten Bezugsquellen stammen.</w:t>
      </w:r>
    </w:p>
    <w:p>
      <w:r>
        <w:t>Die Herkunft, auch die geografische Herkunft, und die Entstehung der Ausgangsstoffe sind zu beschreiben und zu dokumentieren. Für gentechnisch veränderte Ausgangsstoffe müssen diese Angaben Einzelheiten enthalten, wie die Beschreibung der Ausgangszellen oder -stämme, den Aufbau des Expressionsvektors (Name, Herkunft, Funktion des Replikons, Promotor, Enhancer und andere Regulatoren), Kontrolle der effektiv eingefügten DNA- oder RNA- Sequenz, oligonukleotide Plasmidvektorsequenzen von in Zellen, zur Kotransfektion verwendetes Plasmid, hinzugefügte oder entfernte Gene, biologische Eigenschaften des fertigen Konstrukts und der exprimierten Gene, Vervielfältigungszahl und genetische Stabilität.</w:t>
      </w:r>
    </w:p>
    <w:p>
      <w:r>
        <w:t>Saatgut, einschließlich Zellbänke und Rohserum für die Antiserumherstellung, sind zum Nachweis ihrer Identität und auf Fremderreger zu prüfen.</w:t>
      </w:r>
    </w:p>
    <w:p>
      <w:r>
        <w:t>Angaben sind zu allen Stoffen biologischer Herkunft zu machen, die in einer der Herstellungsstufen verwendet werden. Die Informationen müssen Folgendes umfassen:</w:t>
      </w:r>
    </w:p>
    <w:p>
      <w:r>
        <w:t>— genaue Angaben zur Herkunft der Stoffe;</w:t>
      </w:r>
    </w:p>
    <w:p>
      <w:r>
        <w:t>— genaue Angaben zu jedem eingesetzten Verarbeitungs-, Reinigungs- und Inaktivierungsverfahren samt Daten über die Validierung dieser Prozesse und der produktionsbegleitenden Kontrollen;</w:t>
      </w:r>
    </w:p>
    <w:p>
      <w:r>
        <w:t>— genaue Angaben zu allen Kontaminationsversuchen, die an jeder Charge des Stoffs durchgeführt wurden.</w:t>
      </w:r>
    </w:p>
    <w:p>
      <w:r>
        <w:t>Wird das Vorhandensein von Fremderregern nachgewiesen oder vermutet, ist das entsprechende Material zu beseitigen oder in äußerst seltenen Ausnahmen und nur unter der Voraussetzung zu verwenden, dass durch die weitere Verarbeitung des Erzeugnisses ihre Beseitigung und/oder Inaktivierung sichergestellt ist; die Beseitigung und/oder Inaktivierung solcher Fremderreger ist nachzuweisen.</w:t>
      </w:r>
    </w:p>
    <w:p>
      <w:r>
        <w:t>Werden Zellkulturen verwendet, muss nachgewiesen werden, dass die Zellmerkmale bis zur höchsten für die Produktion gewählten Anzahl von Passagen unverändert geblieben sind.</w:t>
      </w:r>
    </w:p>
    <w:p>
      <w:r>
        <w:t>Für lebende attenuierte Impfstoffe ist der Nachweis der Stabilität der Attenuierung des Saatmaterials zu erbringen.</w:t>
      </w:r>
    </w:p>
    <w:p>
      <w:r>
        <w:t>Durch Vorlage entsprechender Unterlagen ist nachzuweisen, dass das Saatmaterial, die Zellkulturen, Serumchargen und anderes Material, das von Tierarten stammt, die TSE übertragen können, mit den Vorschriften der „Leitlinien für die Minimierung des Risikos der Übertragung von Erregern der spongiformen Enzephalopathie tierischen Ursprungs durch Human- und Tierarzneimittel“ sowie mit den Anforderungen der entsprechenden Monographie des Europäischen Arzneibuchs in Einklang stehen. Dieser Nachweis kann durch Eignungszertifikate erbracht werden, die von der Europäischen Direktion für die Qualität von Medikamenten (EDQM) für die einschlägige Monographie des Europäischen Arzneibuchs ausgestellt werden.</w:t>
      </w:r>
    </w:p>
    <w:p>
      <w:r>
        <w:t>Sofern erforderlich, sind Proben der biologischen Ausgangsstoffe oder der in den Prüfverfahren verwendeten Reagenzien vorzulegen, sodass die zuständige Behörde Kontrollprüfungen durchführen lassen kann.</w:t>
      </w:r>
    </w:p>
    <w:p>
      <w:pPr>
        <w:pStyle w:val="Heading1"/>
      </w:pPr>
      <w:r>
        <w:t>ANHANG II (Fortsetzung)</w:t>
      </w:r>
    </w:p>
    <w:p>
      <w:pPr>
        <w:pStyle w:val="Heading2"/>
      </w:pPr>
      <w:r>
        <w:t>2.2. Ausgangsstoffe nicht biologischer Herkunft</w:t>
      </w:r>
    </w:p>
    <w:p>
      <w:r>
        <w:t>Die Beschreibung muss in Form einer Monographie unter folgenden Titeln erfolgen:</w:t>
      </w:r>
    </w:p>
    <w:p>
      <w:r>
        <w:t>— der Name des Ausgangsstoffs, der den Vorschriften von Abschnitt A Punkt 2 entspricht, ist durch handelsübliche oder wissenschaftliche Synonyme zu ergänzen;</w:t>
      </w:r>
    </w:p>
    <w:p>
      <w:r>
        <w:t>— die Beschreibung des Ausgangsstoffs, in ähnlicher Form abgefasst wie eine Beschreibung im Europäischen Arzneibuch;</w:t>
      </w:r>
    </w:p>
    <w:p>
      <w:r>
        <w:t>— die Funktion des Ausgangsstoffs;</w:t>
      </w:r>
    </w:p>
    <w:p>
      <w:r>
        <w:t>— Identifizierungsmethoden;</w:t>
      </w:r>
    </w:p>
    <w:p>
      <w:r>
        <w:t>— etwaige besondere Vorsichtsmaßnahmen, die bei der Lagerung des Ausgangsmaterials erforderlich sind, und, falls erforderlich, dessen Haltbarkeit sind anzugeben.</w:t>
      </w:r>
    </w:p>
    <w:p>
      <w:pPr>
        <w:pStyle w:val="Heading1"/>
      </w:pPr>
      <w:r>
        <w:t>ANHANG II (Fortsetzung)</w:t>
      </w:r>
    </w:p>
    <w:p>
      <w:pPr>
        <w:pStyle w:val="Heading2"/>
      </w:pPr>
      <w:r>
        <w:t>D. KONTROLLEN WÄHREND DES HERSTELLUNGSPROZESSES</w:t>
      </w:r>
    </w:p>
    <w:p>
      <w:r>
        <w:rPr>
          <w:b/>
        </w:rPr>
        <w:t>Tabelle (zeilenweise wiedergegeben):</w:t>
      </w:r>
    </w:p>
    <w:p>
      <w:pPr>
        <w:pStyle w:val="ListBullet"/>
      </w:pPr>
      <w:r>
        <w:t>1. | Das Dossier muss Angaben zu den Kontrollprüfungen enthalten, die am Zwischenerzeugnis durchgeführt werden, um die Konstanz des Herstellungsverfahrens und die gleichbleibende Qualität des Fertigerzeugnisses festzustellen.</w:t>
      </w:r>
    </w:p>
    <w:p>
      <w:pPr>
        <w:pStyle w:val="ListBullet"/>
      </w:pPr>
      <w:r>
        <w:t>2. | Bei inaktivierten oder entgifteten Impfstoffen sind Inaktivierung oder Entgiftung während jedes Produktionslaufs möglichst rasch nach dem Inaktivierungs- oder Entgiftungsvorgang und gegebenenfalls nach der Neutralisierung, aber noch vor dem nächsten Produktionsschritt zu prüfen.</w:t>
      </w:r>
    </w:p>
    <w:p>
      <w:pPr>
        <w:pStyle w:val="Heading1"/>
      </w:pPr>
      <w:r>
        <w:t>ANHANG II (Fortsetzung)</w:t>
      </w:r>
    </w:p>
    <w:p>
      <w:pPr>
        <w:pStyle w:val="Heading2"/>
      </w:pPr>
      <w:r>
        <w:t>E. KONTROLLEN AM FERTIGERZEUGNIS</w:t>
      </w:r>
    </w:p>
    <w:p>
      <w:r>
        <w:t>Bei allen Prüfungen muss die Beschreibung der Verfahren zur Analyse des Fertigerzeugnisses hinreichend genau für eine Qualitätsbeurteilung sein.</w:t>
      </w:r>
    </w:p>
    <w:p>
      <w:r>
        <w:t>Das Dossier muss Angaben zu den Kontrollprüfungen enthalten, die am Fertigerzeugnis durchgeführt werden. Sofern Testverfahren und Grenzwerte angewandt werden, die nicht in den Monographien des Europäischen Arzneibuchs oder andernfalls in dem Arzneibuch eines Mitgliedstaats aufgeführt sind, muss, wenn geeignete Monographien vorliegen, der Nachweis erbracht werden, dass das Fertigerzeugnis den Qualitätsanforderungen jenes Arzneibuchs für die betreffende Darreichungsform entsprechen würde, wenn es im Einklang mit diesen Monographien geprüft würde. In dem Zulassungsantrag sind die Prüfungen anzugeben, die an repräsentativen Proben jeder Charge des Fertigerzeugnisses durchgeführt werden. Die Häufigkeit der nicht bei jeder Charge durchgeführten Prüfungen ist anzugeben. Es sind Freigabegrenzwerte anzugeben.</w:t>
      </w:r>
    </w:p>
    <w:p>
      <w:r>
        <w:t>Sofern verfügbar, sind die im Europäischen Arzneibuch verzeichneten chemischen und biologischen Referenzmaterialien zu verwenden. Falls andere Referenzzubereitungen und -standards verwendet werden, sind diese anzugeben und ausführlich zu beschreiben.</w:t>
      </w:r>
    </w:p>
    <w:p>
      <w:pPr>
        <w:pStyle w:val="Heading1"/>
      </w:pPr>
      <w:r>
        <w:t>ANHANG II (Fortsetzung)</w:t>
      </w:r>
    </w:p>
    <w:p>
      <w:pPr>
        <w:pStyle w:val="Heading2"/>
      </w:pPr>
      <w:r>
        <w:t>1. Allgemeine Merkmale des Fertigerzeugnisses</w:t>
      </w:r>
    </w:p>
    <w:p>
      <w:r>
        <w:t>Die Prüfung von allgemeinen Merkmalen erstreckt sich gegebenenfalls auf die Kontrolle der durchschnittlichen Massen und der maximalen Abweichungen, auf mechanische, physikalische, oder chemische Prüfungen, physikalische Merkmale wie Dichte, pH-Wert, Viskosität usw. Für jedes dieser Merkmale müssen vom Antragsteller in jedem einzelnen Fall Spezifikationen mit geeigneten Sicherheitskoeffizienten erstellt werden.</w:t>
      </w:r>
    </w:p>
    <w:p>
      <w:pPr>
        <w:pStyle w:val="Heading1"/>
      </w:pPr>
      <w:r>
        <w:t>ANHANG II (Fortsetzung)</w:t>
      </w:r>
    </w:p>
    <w:p>
      <w:pPr>
        <w:pStyle w:val="Heading2"/>
      </w:pPr>
      <w:r>
        <w:t>2. Identitätsnachweis der Wirkstoffe</w:t>
      </w:r>
    </w:p>
    <w:p>
      <w:r>
        <w:t>Erforderlichenfalls ist auch eine spezifische Prüfung zu Identifizierungszwecken durchzuführen.</w:t>
      </w:r>
    </w:p>
    <w:p>
      <w:pPr>
        <w:pStyle w:val="Heading1"/>
      </w:pPr>
      <w:r>
        <w:t>ANHANG II (Fortsetzung)</w:t>
      </w:r>
    </w:p>
    <w:p>
      <w:pPr>
        <w:pStyle w:val="Heading2"/>
      </w:pPr>
      <w:r>
        <w:t>3. Titer oder Potenz der Charge</w:t>
      </w:r>
    </w:p>
    <w:p>
      <w:r>
        <w:t>An jeder Charge ist eine Quantifizierung des Wirkstoffs vorzunehmen, um nachzuweisen, dass der Titer oder die Potenz in jeder Charge geeignet ist, ihre Unbedenklichkeit und Wirksamkeit sicherzustellen.</w:t>
      </w:r>
    </w:p>
    <w:p>
      <w:pPr>
        <w:pStyle w:val="Heading1"/>
      </w:pPr>
      <w:r>
        <w:t>ANHANG II (Fortsetzung)</w:t>
      </w:r>
    </w:p>
    <w:p>
      <w:pPr>
        <w:pStyle w:val="Heading2"/>
      </w:pPr>
      <w:r>
        <w:t>4. Identitätsnachweis und Gehaltsbestimmung von Adjuvanzien</w:t>
      </w:r>
    </w:p>
    <w:p>
      <w:r>
        <w:t>Soweit Prüfverfahren zur Verfügung stehen, sind Menge und Art des Adjuvans und seiner Bestandteile am Fertigerzeugnis nachzuprüfen.</w:t>
      </w:r>
    </w:p>
    <w:p>
      <w:pPr>
        <w:pStyle w:val="Heading1"/>
      </w:pPr>
      <w:r>
        <w:t>ANHANG II (Fortsetzung)</w:t>
      </w:r>
    </w:p>
    <w:p>
      <w:pPr>
        <w:pStyle w:val="Heading2"/>
      </w:pPr>
      <w:r>
        <w:t>5. Identitätsnachweis und Gehaltsbestimmung der Bestandteile von Hilfsstoffen</w:t>
      </w:r>
    </w:p>
    <w:p>
      <w:r>
        <w:t>Soweit erforderlich, sind an den Hilfsstoffen zumindest Prüfungen zur Identifizierung durchzuführen.</w:t>
      </w:r>
    </w:p>
    <w:p>
      <w:r>
        <w:t>Die Bestimmung des oberen und des unteren Grenzwerts ist für Konservierungsmittel zwingend vorgeschrieben. Die Bestimmung des oberen Grenzwerts ist für alle anderen Bestandteile von Hilfsstoffen, die im Verdacht stehen, zu Nebenwirkungen zu führen, zwingend vorgeschrieben.</w:t>
      </w:r>
    </w:p>
    <w:p>
      <w:pPr>
        <w:pStyle w:val="Heading1"/>
      </w:pPr>
      <w:r>
        <w:t>ANHANG II (Fortsetzung)</w:t>
      </w:r>
    </w:p>
    <w:p>
      <w:pPr>
        <w:pStyle w:val="Heading2"/>
      </w:pPr>
      <w:r>
        <w:t>6. Unbedenklichkeitsversuche</w:t>
      </w:r>
    </w:p>
    <w:p>
      <w:r>
        <w:t>Neben den Ergebnissen der gemäß Teil 3 dieses Titels (Unbedenklichkeitsversuche) vorgelegten Prüfungen sind auch Angaben über Versuche zur Unbedenklichkeit einer Charge zu machen. Diese Versuche sollten vorzugsweise Überdosierungsversuche sein, die mindestens an einer der empfindlichsten Zieltierarten und zumindest auf dem empfohlenen Verabreichungsweg mit dem größten Risiko durchgeführt werden. Von routinemäßigen Chargenunbedenklichkeitsversuchen kann im Interesse des Tierschutzes abgesehen werden, sofern eine ausreichende Anzahl von Produktionschargen nacheinander hergestellt und als mit den Prüfanforderungen übereinstimmend befunden wurde.</w:t>
      </w:r>
    </w:p>
    <w:p>
      <w:pPr>
        <w:pStyle w:val="Heading1"/>
      </w:pPr>
      <w:r>
        <w:t>ANHANG II (Fortsetzung)</w:t>
      </w:r>
    </w:p>
    <w:p>
      <w:pPr>
        <w:pStyle w:val="Heading2"/>
      </w:pPr>
      <w:r>
        <w:t>7. Prüfungen auf Sterilitäts- und Reinheit</w:t>
      </w:r>
    </w:p>
    <w:p>
      <w:r>
        <w:t>Es sind geeignete Prüfungen zum Nachweis der Freiheit von Kontamination durch Fremderreger oder andere Stoffe entsprechend der Art des immunologischen Tierarzneimittels, der Herstellungsmethode und -bedingungen durchzuführen. Werden routinemäßig weniger Prüfungen je Charge durchgeführt, als in dem einschlägigen Europäischen Arzneibuch vorgeschrieben sind, müssen diese für die Einhaltung der Monographie maßgeblich sein. Es sind Nachweise vorzulegen, dass das immunologische Tierarzneimittel die Anforderungen erfüllen würde, würde es in vollem Umfang gemäß der Monographie geprüft.</w:t>
      </w:r>
    </w:p>
    <w:p>
      <w:pPr>
        <w:pStyle w:val="Heading1"/>
      </w:pPr>
      <w:r>
        <w:t>ANHANG II (Fortsetzung)</w:t>
      </w:r>
    </w:p>
    <w:p>
      <w:pPr>
        <w:pStyle w:val="Heading2"/>
      </w:pPr>
      <w:r>
        <w:t>8. Feuchtigkeitsrückstände</w:t>
      </w:r>
    </w:p>
    <w:p>
      <w:r>
        <w:t>Jede Charge eines lyophilisierten Erzeugnisses ist auf Feuchtigkeitsrückstände zu prüfen.</w:t>
      </w:r>
    </w:p>
    <w:p>
      <w:pPr>
        <w:pStyle w:val="Heading1"/>
      </w:pPr>
      <w:r>
        <w:t>ANHANG II (Fortsetzung)</w:t>
      </w:r>
    </w:p>
    <w:p>
      <w:pPr>
        <w:pStyle w:val="Heading2"/>
      </w:pPr>
      <w:r>
        <w:t>9. Inaktivierung</w:t>
      </w:r>
    </w:p>
    <w:p>
      <w:r>
        <w:t>Bei inaktivierten Impfstoffen ist die Inaktivierung durch einen Versuch am Fertigprodukt im endgültigen Behälter zu überprüfen, es sei denn, dieser Versuch erfolgte in einem späten Prozessschritt.</w:t>
      </w:r>
    </w:p>
    <w:p>
      <w:pPr>
        <w:pStyle w:val="Heading1"/>
      </w:pPr>
      <w:r>
        <w:t>ANHANG II (Fortsetzung)</w:t>
      </w:r>
    </w:p>
    <w:p>
      <w:pPr>
        <w:pStyle w:val="Heading2"/>
      </w:pPr>
      <w:r>
        <w:t>F. GLEICHBLEIBENDE QUALITÄT DER CHARGEN</w:t>
      </w:r>
    </w:p>
    <w:p>
      <w:r>
        <w:t>Damit eine gleichbleibende Qualität von Charge zu Charge gewährleistet ist und die Übereinstimmung mit den Spezifikationen nachgewiesen wird, ist für drei aufeinander folgende Chargen ein vollständiges Protokoll mit den Ergebnissen aller Prüfungen vorzulegen, die im Verlauf der Produktion und am Fertigerzeugnis durchgeführt worden sind.</w:t>
      </w:r>
    </w:p>
    <w:p>
      <w:pPr>
        <w:pStyle w:val="Heading1"/>
      </w:pPr>
      <w:r>
        <w:t>ANHANG II (Fortsetzung)</w:t>
      </w:r>
    </w:p>
    <w:p>
      <w:pPr>
        <w:pStyle w:val="Heading2"/>
      </w:pPr>
      <w:r>
        <w:t>G. HALTBARKEITSVERSUCHE</w:t>
      </w:r>
    </w:p>
    <w:p>
      <w:r>
        <w:t>Die Angaben und Unterlagen, die dem Antrag auf Zulassung gemäß Artikel 12 Absatz 3 Buchstaben f und i beizufügen sind, müssen im Einklang mit den folgenden Vorschriften stehen.</w:t>
      </w:r>
    </w:p>
    <w:p>
      <w:r>
        <w:t>Es sind Versuche zu beschreiben, die durchgeführt wurden, um die vom Hersteller vorgeschlagene Haltbarkeitsdauer zu belegen. Bei diesen Versuchen muss es sich immer um Echtzeitversuche handeln; sie sind an einer ausreichenden Anzahl von Chargen durchzuführen, die im Einklang mit dem beschriebenen Produktionsverfahren hergestellt wurden, sowie an Erzeugnissen, die im endgültigen Behältnis gelagert sind; diese Versuche umfassen biologische und physikalisch-chemische Haltbarkeitsprüfungen.</w:t>
      </w:r>
    </w:p>
    <w:p>
      <w:r>
        <w:t>Die Schlussfolgerungen müssen die Analyseergebnisse enthalten, die die vorgeschlagene Haltbarkeitsdauer unter allen vorgeschlagenen Lagerungsbedingungen rechtfertigen.</w:t>
      </w:r>
    </w:p>
    <w:p>
      <w:r>
        <w:t>Bei Arzneimitteln, die über das Futter verabreicht werden, müssen die Angaben bezüglich der Haltbarkeit, falls erforderlich, auch für die verschiedenen Stadien des Mischvorgangs bei Einhaltung der empfohlenen Anweisungen gemacht werden.</w:t>
      </w:r>
    </w:p>
    <w:p>
      <w:r>
        <w:t>Muss das Fertigerzeugnis vor der Verabreichung rekonstituiert oder muss es in Trinkwasser verabreicht werden, sind genaue Angaben zur vorgeschlagenen Haltbarkeitsdauer für das entsprechend den Anweisungen rekonstituierte Erzeugnis erforderlich. Zur Untermauerung der vorgeschlagenen Haltbarkeitsdauer für das rekonstituierte Erzeugnis sind Daten vorzulegen.</w:t>
      </w:r>
    </w:p>
    <w:p>
      <w:r>
        <w:t>Bei kombinierten Arzneimitteln gewonnene Haltbarkeitsdaten können als vorläufige Daten für Derivate dienen, die eines oder mehrere der gleichen Bestandteile enthalten.</w:t>
      </w:r>
    </w:p>
    <w:p>
      <w:r>
        <w:t>Die vorgeschlagene Haltbarkeitsdauer des gebrauchsfertigen Erzeugnisses ist zu begründen.</w:t>
      </w:r>
    </w:p>
    <w:p>
      <w:r>
        <w:t>Die Wirksamkeit jeder Konservierungsart ist nachzuweisen.</w:t>
      </w:r>
    </w:p>
    <w:p>
      <w:r>
        <w:t>Angaben zur Wirksamkeit der Konservierungsmittel bei anderen, ähnlichen immunologischen Tierarzneimitteln desselben Herstellers sind unter Umständen ausreichend.</w:t>
      </w:r>
    </w:p>
    <w:p>
      <w:pPr>
        <w:pStyle w:val="Heading1"/>
      </w:pPr>
      <w:r>
        <w:t>ANHANG II (Fortsetzung)</w:t>
      </w:r>
    </w:p>
    <w:p>
      <w:pPr>
        <w:pStyle w:val="Heading2"/>
      </w:pPr>
      <w:r>
        <w:t>H. SONSTIGE ANGABEN</w:t>
      </w:r>
    </w:p>
    <w:p>
      <w:r>
        <w:t>In das Dossier können auch Informationen über die Qualität des immunologischen Tierarzneimittels aufgenommen werden, die in den vorstehenden Abschnitten nicht erfasst sind.</w:t>
      </w:r>
    </w:p>
    <w:p>
      <w:pPr>
        <w:pStyle w:val="Heading1"/>
      </w:pPr>
      <w:r>
        <w:t>ANHANG II (Fortsetzung)</w:t>
      </w:r>
    </w:p>
    <w:p>
      <w:pPr>
        <w:pStyle w:val="Heading2"/>
      </w:pPr>
      <w:r>
        <w:t>TEIL 3</w:t>
      </w:r>
    </w:p>
    <w:p>
      <w:pPr>
        <w:pStyle w:val="Heading1"/>
      </w:pPr>
      <w:r>
        <w:t>ANHANG II (Fortsetzung)</w:t>
      </w:r>
    </w:p>
    <w:p>
      <w:pPr>
        <w:pStyle w:val="Heading2"/>
      </w:pPr>
      <w:r>
        <w:t>Unbedenklichkeitsversuche</w:t>
      </w:r>
    </w:p>
    <w:p>
      <w:pPr>
        <w:pStyle w:val="Heading1"/>
      </w:pPr>
      <w:r>
        <w:t>ANHANG II (Fortsetzung)</w:t>
      </w:r>
    </w:p>
    <w:p>
      <w:pPr>
        <w:pStyle w:val="Heading2"/>
      </w:pPr>
      <w:r>
        <w:t>A. EINLEITUNG UND ALLGEMEINE VORSCHRIFTEN</w:t>
      </w:r>
    </w:p>
    <w:p>
      <w:r>
        <w:t>Die Unbedenklichkeitsversuche müssen die potenziellen Risiken des immunologischen Tierarzneimittels aufzeigen, die unter den vorgeschlagenen Anwendungsbedingungen bei Tieren auftreten können; diese sind in Relation zu dem potenziellen Nutzen des Arzneimittels zu bewerten.</w:t>
      </w:r>
    </w:p>
    <w:p>
      <w:r>
        <w:t>Sofern immunologische Tierarzneimittel aus lebenden Organismen bestehen, insbesondere solchen, die von geimpften Tieren ausgeschieden werden können, ist das potenzielle Risiko für ungeimpfte Tiere derselben oder jeder anderen potenziell exponierten Tierart zu bewerten.</w:t>
      </w:r>
    </w:p>
    <w:p>
      <w:r>
        <w:t>Die Unbedenklichkeitsversuche sind an den Zielarten durchzuführen. Die anzuwendende Dosis muss der Menge des Arzneimittels entsprechen, die für die Verwendung zu empfehlen ist, und die für die Unbedenklichkeitsversuche verwendete Charge muss von einer Charge bzw. Chargen stammen, die im Einklang mit dem in Teil 2 des Zulassungsantrags beschriebenen Verfahren hergestellt sind.</w:t>
      </w:r>
    </w:p>
    <w:p>
      <w:r>
        <w:t>Bei immunologischen Tierarzneimitteln, die einen lebenden Organismus enthalten, muss die Dosis, die bei den in Abschnitt B.1 und B.2 beschriebenen Laborprüfungen zu verwenden ist, der Menge des Arzneimittels mit dem höchsten Titer entsprechen. Falls erforderlich, kann die Konzentration des Antigens so angepasst werden, dass die vorgeschriebene Dosis erreicht wird. Bei inaktivierten Impfstoffen muss die anzuwendende Dosis der für die Anwendung empfohlenen Menge mit dem höchstem Antigengehalt entsprechen; andernfalls ist dies zu begründen.</w:t>
      </w:r>
    </w:p>
    <w:p>
      <w:r>
        <w:t>Die Dokumentation über die Unbedenklichkeit ist für die Beurteilung der potenziellen Risiken zu verwenden, die sich durch eine Exposition von Menschen gegenüber dem Tierarzneimittel, beispielsweise bei der Verabreichung an das Tier, ergeben können.</w:t>
      </w:r>
    </w:p>
    <w:p>
      <w:pPr>
        <w:pStyle w:val="Heading1"/>
      </w:pPr>
      <w:r>
        <w:t>ANHANG II (Fortsetzung)</w:t>
      </w:r>
    </w:p>
    <w:p>
      <w:pPr>
        <w:pStyle w:val="Heading2"/>
      </w:pPr>
      <w:r>
        <w:t>B. LABORVERSUCHE</w:t>
      </w:r>
    </w:p>
    <w:p>
      <w:pPr>
        <w:pStyle w:val="Heading1"/>
      </w:pPr>
      <w:r>
        <w:t>ANHANG II (Fortsetzung)</w:t>
      </w:r>
    </w:p>
    <w:p>
      <w:pPr>
        <w:pStyle w:val="Heading2"/>
      </w:pPr>
      <w:r>
        <w:t>1. Unbedenklichkeit der Verabreichung einer Einzeldosis</w:t>
      </w:r>
    </w:p>
    <w:p>
      <w:r>
        <w:t>Das immunologische Tierarzneimittel muss in der empfohlenen Dosis und auf jedem der empfohlenen Verabreichungswege an Tiere jeder Art und Kategorie verabreicht werden, für die es bestimmt ist, einschließlich Tieren im Mindestverabreichungsalter. Die Tiere sind auf Symptome systemischer und lokaler Reaktionen zu beobachten und zu untersuchen. Gegebenenfalls müssen diese Studien detaillierte makroskopische und mikroskopische Untersuchungen post mortem an der Injektionsstelle umfassen. Sonstige objektive Kriterien, wie Rektaltemperatur und Leistungsmessungen, sind anzugeben.</w:t>
      </w:r>
    </w:p>
    <w:p>
      <w:r>
        <w:t>Die Tiere sind so lange zu beobachten und zu untersuchen, bis keine weiteren Reaktionen mehr zu erwarten sind, jedoch muss in jedem Fall der Beobachtungs- und Untersuchungszeitraum mindestens 14 Tage nach der letzten Verabreichung betragen.</w:t>
      </w:r>
    </w:p>
    <w:p>
      <w:r>
        <w:t>Diese Untersuchung kann Teil der gemäß Punkt 3 vorgeschriebenen Studie zur wiederholten Verabreichung sein, es kann aber auch auf sie verzichtet werden, wenn die Ergebnisse der gemäß Punkt 2 vorgeschriebenen Überdosis-Studie keine Anzeichen für systemische oder lokale Reaktionen ergeben haben.</w:t>
      </w:r>
    </w:p>
    <w:p>
      <w:pPr>
        <w:pStyle w:val="Heading1"/>
      </w:pPr>
      <w:r>
        <w:t>ANHANG II (Fortsetzung)</w:t>
      </w:r>
    </w:p>
    <w:p>
      <w:pPr>
        <w:pStyle w:val="Heading2"/>
      </w:pPr>
      <w:r>
        <w:t>2. Unbedenklichkeit der Verabreichung einer einzigen Überdosis</w:t>
      </w:r>
    </w:p>
    <w:p>
      <w:r>
        <w:t>Nur bei immunologischen Tierarzneimitteln mit lebenden Organismen sind Versuche zur Überdosis erforderlich.</w:t>
      </w:r>
    </w:p>
    <w:p>
      <w:r>
        <w:t>Eine Überdosis des immunologischen Tierarzneimittels ist auf jedem empfohlenen Verabreichungsweg an Tiere der empfindlichsten Kategorien der Zielarten zu verabreichen, es sei denn, es wird begründet, warum nur der heikelste von mehreren Verabreichungswegen ausgewählt wurde. Bei immunologischen Tierarzneimitteln, die injiziert werden, muss bei der Auswahl von Dosis und Verabreichungswegen das maximale Volumen berücksichtigt werden, das an einer einzigen Injektionsstelle verabreicht werden kann. Die Tiere sind über einen Zeitraum von mindestens 14 Tagen nach der letzten Verabreichung auf Anzeichen systemischer und lokaler Reaktionen hin zu beobachten und zu untersuchen. Sonstige Kriterien, wie Rektaltemperatur und Leistungsmessungen, sind anzugeben.</w:t>
      </w:r>
    </w:p>
    <w:p>
      <w:r>
        <w:t>Gegebenenfalls müssen diese Versuche detaillierte makroskopische und mikroskopische Untersuchungen post mortem an der Injektionsstelle umfassen, sofern dies nicht bereits gemäß Punkt 1 erfolgt ist.</w:t>
      </w:r>
    </w:p>
    <w:p>
      <w:pPr>
        <w:pStyle w:val="Heading1"/>
      </w:pPr>
      <w:r>
        <w:t>ANHANG II (Fortsetzung)</w:t>
      </w:r>
    </w:p>
    <w:p>
      <w:pPr>
        <w:pStyle w:val="Heading2"/>
      </w:pPr>
      <w:r>
        <w:t>3. Unbedenklichkeit der wiederholten Verabreichung einer Einzeldosis</w:t>
      </w:r>
    </w:p>
    <w:p>
      <w:r>
        <w:t>Bei immunologischen Tierarzneimitteln, die im Rahmen eines Basisimpfschemas mehrmals verabreicht werden sollen, ist eine Studie zur wiederholten Verabreichung einer Einzeldosis vorgeschrieben, um dabei auftretende Nebenwirkungen festzustellen. Diese Versuche sind an den empfindlichsten Kategorien der Zieltierart (etwa bei bestimmten Rassen oder Altersgruppen) unter Anwendung jedes empfohlenen Verabreichungsweges durchzuführen.</w:t>
      </w:r>
    </w:p>
    <w:p>
      <w:r>
        <w:t>Die Tiere sind über einen Zeitraum von mindestens 14 Tagen nach der letzten Verabreichung auf Anzeichen systemischer und lokaler Reaktionen hin zu beobachten und zu untersuchen. Sonstige objektive Kriterien, wie Rektaltemperatur und Leistungsmessungen, sind anzugeben.</w:t>
      </w:r>
    </w:p>
    <w:p>
      <w:pPr>
        <w:pStyle w:val="Heading1"/>
      </w:pPr>
      <w:r>
        <w:t>ANHANG II (Fortsetzung)</w:t>
      </w:r>
    </w:p>
    <w:p>
      <w:pPr>
        <w:pStyle w:val="Heading2"/>
      </w:pPr>
      <w:r>
        <w:t>4. Untersuchung der Fortpflanzungsfähigkeit</w:t>
      </w:r>
    </w:p>
    <w:p>
      <w:r>
        <w:t>Die Untersuchung der Fortpflanzungsfähigkeit ist zu erwägen, wenn Daten darauf hinweisen, dass das Ausgangsmaterial des Arzneimittels einen potenziellen Risikofaktor darstellen kann. Die Fortpflanzungsfähigkeit von männlichen sowie nicht trächtigen und trächtigen weiblichen Tieren ist mit der empfohlenen Dosierung und auf dem heikelsten Verabreichungsweg zu untersuchen. Außerdem sind schädliche Wirkungen auf die Nachkommenschaft sowie teratogene und Aborte induzierende Wirkungen zu untersuchen.</w:t>
      </w:r>
    </w:p>
    <w:p>
      <w:r>
        <w:t>Diese Untersuchungen können Teil der unter den Punkten 1, 2 und 3 beschriebenen Unbedenklichkeitsversuche oder der gemäß Abschnitt C vorgeschriebenen Feldversuche sein.</w:t>
      </w:r>
    </w:p>
    <w:p>
      <w:pPr>
        <w:pStyle w:val="Heading1"/>
      </w:pPr>
      <w:r>
        <w:t>ANHANG II (Fortsetzung)</w:t>
      </w:r>
    </w:p>
    <w:p>
      <w:pPr>
        <w:pStyle w:val="Heading2"/>
      </w:pPr>
      <w:r>
        <w:t>5. Untersuchung immunologischer Funktionen</w:t>
      </w:r>
    </w:p>
    <w:p>
      <w:r>
        <w:t>Sofern das immunologische Tierarzneimittel die Immunreaktion des geimpften Tieres oder seiner Nachkommenschaft beeinträchtigen könnte, sind geeignete Versuche über die immunologischen Funktionen durchzuführen.</w:t>
      </w:r>
    </w:p>
    <w:p>
      <w:pPr>
        <w:pStyle w:val="Heading1"/>
      </w:pPr>
      <w:r>
        <w:t>ANHANG II (Fortsetzung)</w:t>
      </w:r>
    </w:p>
    <w:p>
      <w:pPr>
        <w:pStyle w:val="Heading2"/>
      </w:pPr>
      <w:r>
        <w:t>6. Besondere Vorschriften für Lebendimpfstoffe</w:t>
      </w:r>
    </w:p>
    <w:p>
      <w:pPr>
        <w:pStyle w:val="Heading1"/>
      </w:pPr>
      <w:r>
        <w:t>ANHANG II (Fortsetzung)</w:t>
      </w:r>
    </w:p>
    <w:p>
      <w:pPr>
        <w:pStyle w:val="Heading2"/>
      </w:pPr>
      <w:r>
        <w:t>6.1. Übertragung des Impfstammes</w:t>
      </w:r>
    </w:p>
    <w:p>
      <w:r>
        <w:t>Die Übertragung des Impfstammes von geimpften auf ungeimpfte Zieltiere ist zu untersuchen, und zwar bei Anwendung des empfohlenen Verabreichungsweges, der am wahrscheinlichsten eine solche Übertragung mit sich bringt. Außerdem kann es erforderlich sein, die Übertragung auf Nichtzieltierarten zu untersuchen, die für lebende Impfstämme möglicherweise hochgradig empfänglich sind.</w:t>
      </w:r>
    </w:p>
    <w:p>
      <w:pPr>
        <w:pStyle w:val="Heading1"/>
      </w:pPr>
      <w:r>
        <w:t>ANHANG II (Fortsetzung)</w:t>
      </w:r>
    </w:p>
    <w:p>
      <w:pPr>
        <w:pStyle w:val="Heading2"/>
      </w:pPr>
      <w:r>
        <w:t>6.2. Verbreitung im geimpften Tier</w:t>
      </w:r>
    </w:p>
    <w:p>
      <w:r>
        <w:t>Fäkalien, Urin, Milch, Eier, orale, nasale oder sonstige Sekretionen sind auf Anwesenheit des Organismus zu prüfen, sofern es zweckdienlich ist. Weitere Untersuchungen der Verbreitung des Impfstammes im Tierkörper können erforderlich sein, wobei besonderes Augenmerk auf jenen Stellen liegen muss, an denen sich der Organismus hauptsächlich repliziert. Bei Lebendimpfstoffen gegen Zoonosen im Sinne der Richtlinie 2003/99/EG des Europäischen Parlaments und des Rates, die an zur Lebensmittelherstellung genutzten Tieren angewandt werden sollen, müssen diese Versuche insbesondere die Persistenz der Organismen an der Injektionsstelle berücksichtigen.</w:t>
      </w:r>
    </w:p>
    <w:p>
      <w:pPr>
        <w:pStyle w:val="Heading1"/>
      </w:pPr>
      <w:r>
        <w:t>ANHANG II (Fortsetzung)</w:t>
      </w:r>
    </w:p>
    <w:p>
      <w:pPr>
        <w:pStyle w:val="Heading2"/>
      </w:pPr>
      <w:r>
        <w:t>6.3. Virulenzreversion attenuierter Impfstoffe</w:t>
      </w:r>
    </w:p>
    <w:p>
      <w:r>
        <w:t>Die Virulenzreversion ist an der Stammsaatgut zu untersuchen. Ist die Stammsaatgut nicht in ausreichender Menge vorhanden, ist das in der Produktion eingesetzte Saatgut mit der niedrigsten Passagenzahl zu untersuchen. Wird in Bezug auf die Passagen eine andere Option gewählt, ist dies zu begründen. Die erste Impfung ist über den Verabreichungsweg vorzunehmen, der am wahrscheinlichsten zur Virulenzreversion führt. An den Zieltieren sind Passagereihen in fünf Tiergruppen durchzuführen, es sei denn, es besteht Veranlassung dazu, mehr Passagen durchzuführen, oder der Organismus ist bereits vorher nicht mehr in den Versuchstieren vorhanden. Falls sich der Organismus nur unzureichend repliziert, sind so viele Passagen wie möglich an der Zieltierart durchzuführen.</w:t>
      </w:r>
    </w:p>
    <w:p>
      <w:pPr>
        <w:pStyle w:val="Heading1"/>
      </w:pPr>
      <w:r>
        <w:t>ANHANG II (Fortsetzung)</w:t>
      </w:r>
    </w:p>
    <w:p>
      <w:pPr>
        <w:pStyle w:val="Heading2"/>
      </w:pPr>
      <w:r>
        <w:t>6.4. Biologische Eigenschaften des Impfstammes</w:t>
      </w:r>
    </w:p>
    <w:p>
      <w:r>
        <w:t>Weitere Versuche können erforderlich sein, um kongenitale biologische Eigenschaften des Impfstammes (z. B. Neurotropismus) zu bestimmen.</w:t>
      </w:r>
    </w:p>
    <w:p>
      <w:pPr>
        <w:pStyle w:val="Heading1"/>
      </w:pPr>
      <w:r>
        <w:t>ANHANG II (Fortsetzung)</w:t>
      </w:r>
    </w:p>
    <w:p>
      <w:pPr>
        <w:pStyle w:val="Heading2"/>
      </w:pPr>
      <w:r>
        <w:t>6.5. Rekombination oder Genom-Reassortment von Stämmen</w:t>
      </w:r>
    </w:p>
    <w:p>
      <w:r>
        <w:t>Die Wahrscheinlichkeit einer Rekombination oder eines Genom-Reassortments mit Feld- oder anderen Stämmen ist zu erörtern.</w:t>
      </w:r>
    </w:p>
    <w:p>
      <w:pPr>
        <w:pStyle w:val="Heading1"/>
      </w:pPr>
      <w:r>
        <w:t>ANHANG II (Fortsetzung)</w:t>
      </w:r>
    </w:p>
    <w:p>
      <w:pPr>
        <w:pStyle w:val="Heading2"/>
      </w:pPr>
      <w:r>
        <w:t>7. Anwendersicherheit</w:t>
      </w:r>
    </w:p>
    <w:p>
      <w:r>
        <w:t>In diesem Abschnitt ist eine Erörterung der in den vorausgegangenen Abschnitten festgestellten Wirkungen aufzunehmen, die diese Wirkungen mit Art und Umfang der menschlichen Exposition gegenüber dem Arzneimittel in Beziehung setzen soll, damit zweckdienliche Warnhinweise für die Anwender formuliert und andere Risikomanagement-Maßnahmen ergriffen werden können.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(10 von 12) Anhang II 1. Identifikation des Arzneimittels, TEIL 4</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